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AD" w:rsidRDefault="000260AD">
      <w:pPr>
        <w:pStyle w:val="ConsPlusTitle"/>
        <w:jc w:val="center"/>
        <w:outlineLvl w:val="0"/>
      </w:pPr>
      <w:r>
        <w:t>СОВЕТ ЕВРАЗИЙСКОЙ ЭКОНОМИЧЕСКОЙ КОМИССИИ</w:t>
      </w:r>
    </w:p>
    <w:p w:rsidR="000260AD" w:rsidRDefault="000260AD">
      <w:pPr>
        <w:pStyle w:val="ConsPlusTitle"/>
        <w:jc w:val="center"/>
      </w:pPr>
    </w:p>
    <w:p w:rsidR="000260AD" w:rsidRDefault="000260AD">
      <w:pPr>
        <w:pStyle w:val="ConsPlusTitle"/>
        <w:jc w:val="center"/>
      </w:pPr>
      <w:r>
        <w:t>РЕШЕНИЕ</w:t>
      </w:r>
    </w:p>
    <w:p w:rsidR="000260AD" w:rsidRDefault="000260AD">
      <w:pPr>
        <w:pStyle w:val="ConsPlusTitle"/>
        <w:jc w:val="center"/>
      </w:pPr>
      <w:r>
        <w:t>от 20 июля 2012 г. N 57</w:t>
      </w:r>
    </w:p>
    <w:p w:rsidR="000260AD" w:rsidRDefault="000260AD">
      <w:pPr>
        <w:pStyle w:val="ConsPlusTitle"/>
        <w:jc w:val="center"/>
      </w:pPr>
    </w:p>
    <w:p w:rsidR="000260AD" w:rsidRDefault="000260AD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0260AD" w:rsidRDefault="000260AD">
      <w:pPr>
        <w:pStyle w:val="ConsPlusTitle"/>
        <w:jc w:val="center"/>
      </w:pPr>
      <w:r>
        <w:t>"О БЕЗОПАСНОСТИ ВЗРЫВЧАТЫХ ВЕЩЕСТВ И ИЗДЕЛИЙ НА ИХ ОСНОВЕ"</w:t>
      </w:r>
    </w:p>
    <w:p w:rsidR="000260AD" w:rsidRDefault="000260AD">
      <w:pPr>
        <w:spacing w:after="1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</w:t>
        </w:r>
      </w:hyperlink>
      <w:r>
        <w:t xml:space="preserve"> Договора о Евразийской экономической комиссии от 18 ноября 2011 года Совет Евразийской экономической комиссии решил: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взрывчатых веществ и изделий на их основе" (</w:t>
      </w:r>
      <w:proofErr w:type="gramStart"/>
      <w:r>
        <w:t>ТР</w:t>
      </w:r>
      <w:proofErr w:type="gramEnd"/>
      <w:r>
        <w:t xml:space="preserve"> ТС 028/2012) (прилагается).</w:t>
      </w:r>
    </w:p>
    <w:p w:rsidR="000260AD" w:rsidRDefault="000260AD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2. Установить, что технический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взрывчатых веществ и изделий на их основе" вступает в силу с 1 июля 2014 года, за исключением </w:t>
      </w:r>
      <w:hyperlink w:anchor="P78" w:history="1">
        <w:r>
          <w:rPr>
            <w:color w:val="0000FF"/>
          </w:rPr>
          <w:t>пункта 1 статьи 4</w:t>
        </w:r>
      </w:hyperlink>
      <w:r>
        <w:t>, который вступает в силу с 1 января 2021 года.</w:t>
      </w:r>
    </w:p>
    <w:p w:rsidR="000260AD" w:rsidRDefault="000260A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17.03.2017 N 11)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3. Настоящее Решение вступает в силу по истечении 30 календарных дней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</w:pPr>
      <w:r>
        <w:t>Члены Совета Евразийской экономической комиссии: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Cell"/>
        <w:jc w:val="both"/>
      </w:pPr>
      <w:r>
        <w:t xml:space="preserve">    От Республики</w:t>
      </w:r>
      <w:proofErr w:type="gramStart"/>
      <w:r>
        <w:t xml:space="preserve">              О</w:t>
      </w:r>
      <w:proofErr w:type="gramEnd"/>
      <w:r>
        <w:t>т Республики              От Российской</w:t>
      </w:r>
    </w:p>
    <w:p w:rsidR="000260AD" w:rsidRDefault="000260AD">
      <w:pPr>
        <w:pStyle w:val="ConsPlusCell"/>
        <w:jc w:val="both"/>
      </w:pPr>
      <w:r>
        <w:t xml:space="preserve">       Беларусь                   Казахстан                 Федерации</w:t>
      </w:r>
    </w:p>
    <w:p w:rsidR="000260AD" w:rsidRDefault="000260AD">
      <w:pPr>
        <w:pStyle w:val="ConsPlusCell"/>
        <w:jc w:val="both"/>
      </w:pPr>
      <w:r>
        <w:t xml:space="preserve">       С.РУМАС                  К.КЕЛИМБЕТОВ                И.ШУВАЛОВ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right"/>
        <w:outlineLvl w:val="0"/>
      </w:pPr>
      <w:proofErr w:type="gramStart"/>
      <w:r>
        <w:t>Принят</w:t>
      </w:r>
      <w:proofErr w:type="gramEnd"/>
    </w:p>
    <w:p w:rsidR="000260AD" w:rsidRDefault="000260AD">
      <w:pPr>
        <w:pStyle w:val="ConsPlusNormal"/>
        <w:jc w:val="right"/>
      </w:pPr>
      <w:r>
        <w:t xml:space="preserve">Решением Совета </w:t>
      </w:r>
      <w:proofErr w:type="gramStart"/>
      <w:r>
        <w:t>Евразийской</w:t>
      </w:r>
      <w:proofErr w:type="gramEnd"/>
    </w:p>
    <w:p w:rsidR="000260AD" w:rsidRDefault="000260AD">
      <w:pPr>
        <w:pStyle w:val="ConsPlusNormal"/>
        <w:jc w:val="right"/>
      </w:pPr>
      <w:r>
        <w:t>экономической комиссии</w:t>
      </w:r>
    </w:p>
    <w:p w:rsidR="000260AD" w:rsidRDefault="000260AD">
      <w:pPr>
        <w:pStyle w:val="ConsPlusNormal"/>
        <w:jc w:val="right"/>
      </w:pPr>
      <w:r>
        <w:t>от 20 июля 2012 г. N 57</w:t>
      </w: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  <w:bookmarkStart w:id="1" w:name="P33"/>
      <w:bookmarkEnd w:id="1"/>
      <w:r>
        <w:t>ТЕХНИЧЕСКИЙ РЕГЛАМЕНТ ТАМОЖЕННОГО СОЮЗА</w:t>
      </w: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  <w:bookmarkStart w:id="2" w:name="_GoBack"/>
      <w:proofErr w:type="gramStart"/>
      <w:r>
        <w:t>ТР</w:t>
      </w:r>
      <w:proofErr w:type="gramEnd"/>
      <w:r>
        <w:t xml:space="preserve"> ТС 028/2012</w:t>
      </w:r>
    </w:p>
    <w:bookmarkEnd w:id="2"/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  <w:r>
        <w:t>О БЕЗОПАСНОСТИ ВЗРЫВЧАТЫХ ВЕЩЕСТВ И ИЗДЕЛИЙ НА ИХ ОСНОВЕ</w:t>
      </w: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  <w:outlineLvl w:val="1"/>
      </w:pPr>
      <w:r>
        <w:t>ПРЕДИСЛОВИЕ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(далее - технический регламент) разработан в соответствии с </w:t>
      </w:r>
      <w:hyperlink r:id="rId7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 Настоящий технический регламент устанавливает на единой таможенной территории Таможенного союза необходимые требования к взрывчатым веществам и изделиям на их основе, а также к связанным с ними процессами изготовления, применения, хранения, перевозки (транспортирования).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lastRenderedPageBreak/>
        <w:t>3. Настоящий технический регламент принят в целях защиты жизни и (или) здоровья человека, имущества, окружающей среды, предупреждения действий, вводящих в заблуждение потребителей.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4. Положения настоящего технического регламента обязательны для исполнения при разработке, изготовлении, хранении, перевозке (транспортировании), применении взрывчатых веществ и изделий на их основе.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5. Если в отношении взрывчатых веществ и изделий на их основе приняты иные технические регламенты Таможенного союза, устанавливающие требования к взрывчатым веществам и изделиям на их основе, то взрывчатые вещества и изделия на их основе должны соответствовать требованиям этих технических регламентов Таможенного союза, действие которых на них распространяется.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r>
        <w:t>Статья 1. ОБЛАСТЬ ПРИМЕНЕНИЯ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 xml:space="preserve">1. Действие настоящего технического регламента распространяется </w:t>
      </w:r>
      <w:proofErr w:type="gramStart"/>
      <w:r>
        <w:t>на</w:t>
      </w:r>
      <w:proofErr w:type="gramEnd"/>
      <w:r>
        <w:t>:</w:t>
      </w:r>
    </w:p>
    <w:p w:rsidR="000260AD" w:rsidRDefault="000260AD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а) взрывчатые вещества и изделия на их основе, разрабатываемые (проектируемые) и изготавливаемые для использования энергии взрыва в промышленных целях;</w:t>
      </w:r>
    </w:p>
    <w:p w:rsidR="000260AD" w:rsidRDefault="000260AD">
      <w:pPr>
        <w:pStyle w:val="ConsPlusNormal"/>
        <w:spacing w:before="220"/>
        <w:ind w:firstLine="540"/>
        <w:jc w:val="both"/>
      </w:pPr>
      <w:bookmarkStart w:id="4" w:name="P51"/>
      <w:bookmarkEnd w:id="4"/>
      <w:proofErr w:type="gramStart"/>
      <w:r>
        <w:t xml:space="preserve">б) взрывчатые вещества, непосредственно не применяемые для использования энергии взрыва в промышленных целях, а используемые для производства взрывчатых веществ и изделий, указанных в </w:t>
      </w:r>
      <w:hyperlink w:anchor="P50" w:history="1">
        <w:r>
          <w:rPr>
            <w:color w:val="0000FF"/>
          </w:rPr>
          <w:t>подпункте а</w:t>
        </w:r>
      </w:hyperlink>
      <w:r>
        <w:t>) настоящей статьи, за исключением инициирующих взрывчатых веществ;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bookmarkStart w:id="5" w:name="P52"/>
      <w:bookmarkEnd w:id="5"/>
      <w:r>
        <w:t xml:space="preserve">в) эмульсии и матрицы окислителя на основе нитрата аммония, разрабатываемые (проектируемые) и изготавливаемые для получения водоэмульсионных и </w:t>
      </w:r>
      <w:proofErr w:type="spellStart"/>
      <w:r>
        <w:t>водногелевых</w:t>
      </w:r>
      <w:proofErr w:type="spellEnd"/>
      <w:r>
        <w:t xml:space="preserve"> взрывчатых веществ.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 Действие настоящего технического регламента не распространяется на взрывчатые вещества и изделия на их основе, относящиеся к оборонной продукции, и на пиротехнические изделия.</w:t>
      </w: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  <w:outlineLvl w:val="1"/>
      </w:pPr>
      <w:r>
        <w:t>Статья 2. ОПРЕДЕЛЕНИЯ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 xml:space="preserve">Взрывчатое вещество - конденсированное химическое вещество или смесь таких веществ, способное при определенных условиях под влиянием внешних воздействий к быстрому </w:t>
      </w:r>
      <w:proofErr w:type="spellStart"/>
      <w:r>
        <w:t>самораспространяющемуся</w:t>
      </w:r>
      <w:proofErr w:type="spellEnd"/>
      <w:r>
        <w:t xml:space="preserve"> химическому превращению (взрыву) с выделением большого количества тепла и газообразных продуктов;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изделие на основе взрывчатого вещества - 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средства инициирования - изделия, содержащие взрывчатое вещество и предназначенные для возбуждения или передачи и возбуждения детонации;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применение взрывчатых веществ и изделий на их основе - выполнение работ или действий, предусмотренных прямым назначением указанных веществ или изделий, а также подготовка к их выполнению;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инициирующее взрывчатое вещество - высокочувствительное взрывчатое вещество, легко детонирующее от простейших начальных импульсов (удар, трение, нагрев, искровой разряд), предназначенное для возбуждения детонации или воспламенения других взрывчатых веществ;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lastRenderedPageBreak/>
        <w:t>маркировка упаковки взрывчатых веществ и изделий на их основе, а также изделий на основе взрывчатых веществ - нанесение условных знаков, надписей на потребительскую упаковку взрывчатых веществ и изделий на их основе, а также на изделия на основе взрывчатых веществ;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маркировка взрывчатых веществ - введение во взрывчатые вещества при их изготовлении маркирующего вещества и (или) </w:t>
      </w:r>
      <w:proofErr w:type="spellStart"/>
      <w:r>
        <w:t>микроносителя</w:t>
      </w:r>
      <w:proofErr w:type="spellEnd"/>
      <w:r>
        <w:t>, выявляемых специальными методами;</w:t>
      </w:r>
    </w:p>
    <w:p w:rsidR="000260AD" w:rsidRDefault="000260AD">
      <w:pPr>
        <w:pStyle w:val="ConsPlusNormal"/>
        <w:spacing w:before="220"/>
        <w:ind w:firstLine="540"/>
        <w:jc w:val="both"/>
      </w:pPr>
      <w:proofErr w:type="spellStart"/>
      <w:r>
        <w:t>микроноситель</w:t>
      </w:r>
      <w:proofErr w:type="spellEnd"/>
      <w:r>
        <w:t xml:space="preserve"> - материальный объект, содержащий информацию, позволяющую идентифицировать взрывчатое вещество, его изготовителя;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техническая документация - документы (руководство (инструкция) по применению, технологический регламент, конструкторская документация), в </w:t>
      </w:r>
      <w:proofErr w:type="gramStart"/>
      <w:r>
        <w:t>которых</w:t>
      </w:r>
      <w:proofErr w:type="gramEnd"/>
      <w:r>
        <w:t xml:space="preserve"> устанавливаются требования к взрывчатым веществам и изделиям на их основе;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упаковка взрывчатых веществ - средство или комплекс средств, предназначенных для защиты взрывчатых веществ и изделий на их основе от повреждений и исключения воздействия атмосферных явлений, исключения попадания взрывчатых веществ и изделий на их основе в окружающую среду, а также обеспечивающих безопасные условия их хранения, перевозки (транспортирования), применения.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r>
        <w:t>Статья 3. ПРАВИЛА ОБРАЩЕНИЯ НА РЫНКЕ ВЗРЫВЧАТЫХ ВЕЩЕСТВ</w:t>
      </w:r>
    </w:p>
    <w:p w:rsidR="000260AD" w:rsidRDefault="000260AD">
      <w:pPr>
        <w:pStyle w:val="ConsPlusNormal"/>
        <w:jc w:val="center"/>
      </w:pPr>
      <w:r>
        <w:t>И ИЗДЕЛИЙ НА ИХ ОСНОВЕ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>Взрывчатые вещества и изделия на их основе выпускаются в обращение на единой таможенной территории Таможенного союза при условии, что они прошли необходимые процедуры подтверждения соответствия настоящему техническому регламенту и иным техническим регламентам Таможенного союза, которые на них распространяются.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Взрывчатые вещества, указанные в </w:t>
      </w:r>
      <w:hyperlink w:anchor="P50" w:history="1">
        <w:r>
          <w:rPr>
            <w:color w:val="0000FF"/>
          </w:rPr>
          <w:t>подпункте а) пункта 1 статьи 1</w:t>
        </w:r>
      </w:hyperlink>
      <w:r>
        <w:t xml:space="preserve"> настоящего технического регламента должны иметь Разрешение на постоянное применение, выданное одним из уполномоченных органов в области промышленной безопасности государства - члена Таможенного союза.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r>
        <w:t>Статья 4. МАРКИРОВКА ВЗРЫВЧАТЫХ ВЕЩЕСТВ</w:t>
      </w:r>
    </w:p>
    <w:p w:rsidR="000260AD" w:rsidRDefault="000260A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260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260AD" w:rsidRDefault="000260A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260AD" w:rsidRDefault="000260AD">
            <w:pPr>
              <w:pStyle w:val="ConsPlusNormal"/>
              <w:jc w:val="both"/>
            </w:pPr>
            <w:r>
              <w:rPr>
                <w:color w:val="392C69"/>
              </w:rPr>
              <w:t>Пункт 1 статьи 4 Технического регламента вступает в силу с 1 января 2021 года (</w:t>
            </w:r>
            <w:hyperlink w:anchor="P14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0260AD" w:rsidRDefault="000260AD">
      <w:pPr>
        <w:pStyle w:val="ConsPlusNormal"/>
        <w:spacing w:before="280"/>
        <w:ind w:firstLine="540"/>
        <w:jc w:val="both"/>
      </w:pPr>
      <w:bookmarkStart w:id="6" w:name="P78"/>
      <w:bookmarkEnd w:id="6"/>
      <w:r>
        <w:t>1. Изготавливаемые взрывчатые вещества должны маркироваться: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а) с целью обнаружения взрывчатых веществ путем введения в них маркирующих веществ, обеспечивающих дистанционное обнаружение взрывчатых веществ техническими или иными средствами;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б) с целью установления изготовителя взрывчатых веществ путем введения в них </w:t>
      </w:r>
      <w:proofErr w:type="spellStart"/>
      <w:r>
        <w:t>микроносителей</w:t>
      </w:r>
      <w:proofErr w:type="spellEnd"/>
      <w:r>
        <w:t>, на которые наносятся кодовые обозначения страны изготовителя, продукции, изготовителя, изготовленной партии и даты изготовления.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Не подлежат маркировке взрывчатые вещества, Перечень которых совместно определяется и подписывается уполномоченными органами в области промышленной безопасности государств - членов Таможенного союза и имеет одинаковую юридическую силу на территориях государств - членов Таможенного союза. Перечень размещается на официальном сайте Евразийской экономической комиссии.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lastRenderedPageBreak/>
        <w:t xml:space="preserve">2. Маркирующие вещества и </w:t>
      </w:r>
      <w:proofErr w:type="spellStart"/>
      <w:r>
        <w:t>микроносители</w:t>
      </w:r>
      <w:proofErr w:type="spellEnd"/>
      <w:r>
        <w:t xml:space="preserve"> должны: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а) обеспечивать эффективность их назначения в течение гарантийного срока хранения при влиянии воздействий, возникающих в процессе обращения взрывчатых веществ и изделий на их основе;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б) обеспечивать возможность получения нанесенной на </w:t>
      </w:r>
      <w:proofErr w:type="spellStart"/>
      <w:r>
        <w:t>микроносители</w:t>
      </w:r>
      <w:proofErr w:type="spellEnd"/>
      <w:r>
        <w:t xml:space="preserve"> информации в отношении любой части изготовленной партии взрывчатого вещества, имеющей массу десять грамм и более;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в) исключать негативное влияние на потребительские свойства взрывчатых веществ и изделий на их основе.</w:t>
      </w:r>
    </w:p>
    <w:p w:rsidR="000260AD" w:rsidRDefault="000260AD">
      <w:pPr>
        <w:pStyle w:val="ConsPlusNormal"/>
        <w:spacing w:before="220"/>
        <w:ind w:firstLine="540"/>
        <w:jc w:val="both"/>
      </w:pPr>
      <w:proofErr w:type="spellStart"/>
      <w:r>
        <w:t>Микроносители</w:t>
      </w:r>
      <w:proofErr w:type="spellEnd"/>
      <w:r>
        <w:t xml:space="preserve"> должны быть защищены от подделки и обеспечивать возможность однозначного считывания информации.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 Маркировка упаковки взрывчатых веществ и изделий на их основе, а также изделий на основе взрывчатых веществ должна включать: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наименование (условное обозначение) взрывчатого вещества или изделия;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наименование предприятия-изготовителя (поставщика и (или) импортера), а также товарный знак (при его наличии) и их юридический адрес;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классификационные обозначения в соответствии с </w:t>
      </w:r>
      <w:hyperlink w:anchor="P219" w:history="1">
        <w:r>
          <w:rPr>
            <w:color w:val="0000FF"/>
          </w:rPr>
          <w:t>приложениями 1</w:t>
        </w:r>
      </w:hyperlink>
      <w:r>
        <w:t xml:space="preserve"> - </w:t>
      </w:r>
      <w:hyperlink w:anchor="P309" w:history="1">
        <w:r>
          <w:rPr>
            <w:color w:val="0000FF"/>
          </w:rPr>
          <w:t>3</w:t>
        </w:r>
      </w:hyperlink>
      <w:r>
        <w:t xml:space="preserve"> настоящего технического регламента;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обозначение соответствия транспортной тары по механической прочности;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информацию о маркировке (маркирующее вещество и (или) </w:t>
      </w:r>
      <w:proofErr w:type="spellStart"/>
      <w:r>
        <w:t>микроноситель</w:t>
      </w:r>
      <w:proofErr w:type="spellEnd"/>
      <w:r>
        <w:t>);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обозначение технических условий или стандартов, в соответствии с которыми изготовлена </w:t>
      </w:r>
      <w:proofErr w:type="gramStart"/>
      <w:r>
        <w:t>продукция</w:t>
      </w:r>
      <w:proofErr w:type="gramEnd"/>
      <w:r>
        <w:t xml:space="preserve"> если эти стандарты были применены;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гарантийный срок хранения;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информацию о подтверждении соответствия продукции требованиям настоящего технического регламента.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4. На изделия на основе взрывчатых веществ допускается нанесение дополнительной информации, не изменяющей смысла предусмотренных данной статьей требований.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5. Маркировка должна быть четкой, разборчивой, стойкой к различным воздействиям (влаги, света, соли, высоких и низких температур), которые могут возникать в процессе транспортирования, а также сохраняться в течение всего гарантийного срока хранения взрывчатых веществ и изделий на их основе.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r>
        <w:t>Статья 5. ТРЕБОВАНИЯ БЕЗОПАСНОСТИ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>1. Классификация взрывчатых веществ и изделий на их основе: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1.1. Для целей использования при взрывных работах в зависимости от условий применения взрывчатые вещества и изделия на их основе, указанные в </w:t>
      </w:r>
      <w:hyperlink w:anchor="P50" w:history="1">
        <w:r>
          <w:rPr>
            <w:color w:val="0000FF"/>
          </w:rPr>
          <w:t>подпункте а) пункта 1 статьи 1</w:t>
        </w:r>
      </w:hyperlink>
      <w:r>
        <w:t xml:space="preserve"> настоящего технического регламента, подразделяются на семь классов, и специальный класс, который, в зависимости от конкретных условий применения, подразделяется на четыре группы. Классы и группы взрывчатых веществ, а также цвет оболочек патронов (пачек) или отличительной полосы, наносимой на оболочки патронов (пачек) и на транспортную тару в зависимости от вида </w:t>
      </w:r>
      <w:r>
        <w:lastRenderedPageBreak/>
        <w:t xml:space="preserve">взрывчатых веществ и условий применения, указаны в </w:t>
      </w:r>
      <w:hyperlink w:anchor="P219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1.2. Взрывчатые вещества, изделия на их основе подразделяются на шесть подклассов в зависимости от степени опасности, которую они представляют, и на восемь групп совместимости, которые устанавливают виды взрывчатых веществ, изделий на их основе, считающиеся совместимыми;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подклассы, группы совместимости и классификационные шифры взрывчатых веществ и изделий на их основе класса 1 приведены в </w:t>
      </w:r>
      <w:hyperlink w:anchor="P283" w:history="1">
        <w:r>
          <w:rPr>
            <w:color w:val="0000FF"/>
          </w:rPr>
          <w:t>приложениях 2</w:t>
        </w:r>
      </w:hyperlink>
      <w:r>
        <w:t xml:space="preserve"> и </w:t>
      </w:r>
      <w:hyperlink w:anchor="P309" w:history="1">
        <w:r>
          <w:rPr>
            <w:color w:val="0000FF"/>
          </w:rPr>
          <w:t>3</w:t>
        </w:r>
      </w:hyperlink>
      <w:r>
        <w:t xml:space="preserve"> к настоящему техническому регламенту соответственно.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1.3. Для целей перевозки (транспортирования) и хранения взрывчатые вещества и изделия на их основе относятся к классу 1 по классификации, установленной на основе международных принципов классификации опасных грузов, регламентируемых типовыми правилами Организации Объединенных Наций.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 Требования безопасности к взрывчатым веществам и изделиям на их основе: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2.1. На взрывчатые вещества, изделия на их основе изготовителем должна быть оформлена техническая документация. </w:t>
      </w:r>
      <w:proofErr w:type="gramStart"/>
      <w:r>
        <w:t xml:space="preserve">Руководство (инструкция) по применению не оформляется на взрывчатые вещества, указанные в </w:t>
      </w:r>
      <w:hyperlink w:anchor="P51" w:history="1">
        <w:r>
          <w:rPr>
            <w:color w:val="0000FF"/>
          </w:rPr>
          <w:t>подпункте б</w:t>
        </w:r>
      </w:hyperlink>
      <w:r>
        <w:t xml:space="preserve">), и на эмульсии и матрицы, указанные в </w:t>
      </w:r>
      <w:hyperlink w:anchor="P52" w:history="1">
        <w:r>
          <w:rPr>
            <w:color w:val="0000FF"/>
          </w:rPr>
          <w:t>подпункте в) пункта 1 статьи 1</w:t>
        </w:r>
      </w:hyperlink>
      <w:r>
        <w:t xml:space="preserve"> настоящего технического регламента.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r>
        <w:t>В технической документации на взрывчатые вещества и изделия на их основе должны быть указаны характеристики, влияющие на их безопасность (при изготовлении, хранении, транспортировании (перевозке), применении), требования к упаковке и таре, должна быть приведена информация о маркировке взрывчатого вещества, а также указаны показатели, по которым осуществляется входной контроль потребителем;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2.2. Руководство (инструкция) по применению должно содержать следующую информацию: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наименование и условное обозначение взрывчатых веществ и изделий на их основе;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назначение и область применения;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комплектность поставки;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технические показатели, определяющие потребительские свойства взрывчатых веществ и изделий на их основе (отдельно контролируемые и неконтролируемые показатели);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показатели </w:t>
      </w:r>
      <w:proofErr w:type="spellStart"/>
      <w:r>
        <w:t>пожаровзрывоопасности</w:t>
      </w:r>
      <w:proofErr w:type="spellEnd"/>
      <w:r>
        <w:t xml:space="preserve"> и электростатической опасности;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описание упаковки и (при необходимости) порядок ее вскрытия и уничтожения (или возврата) после применения;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указание класса опасности груза и группы совместимости;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применение механизированных операций на складах и на месте применения с указанием способа механизации;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порядок возврата неиспользованных взрывчатых веществ и изделий на их основе на склад;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требования безопасности при обращении с взрывчатыми веществами и изделиями на их основе (предельно допустимые концентрации вредных веществ в воздухе рабочей зоны, характер действия веществ на организм человека, меры и средства защиты от вредного воздействия, средства пожаротушения);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lastRenderedPageBreak/>
        <w:t>способ размещения взрывчатого вещества или изделия в шпуре или скважине;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способ инициирования;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характеристики взрывчатых веществ и изделий на их основе, проверяемые при поступлении на склад потребителя, и в период хранения на складе;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условия хранения, гарантийный срок хранения, меры, принимаемые после истечения гарантийного срока хранения, порядок и методы уничтожения;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требования к квалификации персонала;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порядок действия персонала при аварийных ситуациях;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порядок ликвидации отказов.</w:t>
      </w:r>
    </w:p>
    <w:p w:rsidR="000260AD" w:rsidRDefault="000260AD">
      <w:pPr>
        <w:pStyle w:val="ConsPlusNormal"/>
        <w:spacing w:before="220"/>
        <w:ind w:firstLine="540"/>
        <w:jc w:val="both"/>
      </w:pPr>
      <w:proofErr w:type="gramStart"/>
      <w:r>
        <w:t xml:space="preserve">Изготовитель на взрывчатые вещества (за исключением взрывчатых веществ, указанных в </w:t>
      </w:r>
      <w:hyperlink w:anchor="P51" w:history="1">
        <w:r>
          <w:rPr>
            <w:color w:val="0000FF"/>
          </w:rPr>
          <w:t>подпункте б</w:t>
        </w:r>
      </w:hyperlink>
      <w:r>
        <w:t xml:space="preserve">) и эмульсий и матриц, указанных в </w:t>
      </w:r>
      <w:hyperlink w:anchor="P52" w:history="1">
        <w:r>
          <w:rPr>
            <w:color w:val="0000FF"/>
          </w:rPr>
          <w:t>подпункте в) пункта 1 статьи 1</w:t>
        </w:r>
      </w:hyperlink>
      <w:r>
        <w:t xml:space="preserve"> настоящего технического регламента) и на изделия на их основе должен предоставлять потребителю руководство (инструкцию) по применению;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r>
        <w:t>2.3. Перечень показателей, необходимых для оценки безопасности взрывчатых веще</w:t>
      </w:r>
      <w:proofErr w:type="gramStart"/>
      <w:r>
        <w:t>ств пр</w:t>
      </w:r>
      <w:proofErr w:type="gramEnd"/>
      <w:r>
        <w:t xml:space="preserve">и их разработке, приведен в </w:t>
      </w:r>
      <w:hyperlink w:anchor="P365" w:history="1">
        <w:r>
          <w:rPr>
            <w:color w:val="0000FF"/>
          </w:rPr>
          <w:t>приложении 4</w:t>
        </w:r>
      </w:hyperlink>
      <w:r>
        <w:t xml:space="preserve"> к настоящему техническому регламенту;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2.4. Не допускаются для применения взрывчатые вещества, по результатам испытаний которых на чувствительность к удару нижний предел составляет менее 100 мм, а при испытаниях на чувствительность к трению нижний предел менее 200 МПа;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2.5. Эмульсия нитрата аммония должна иметь плотность выше значения, при котором она может быть отнесена к классу 1 по методам испытания, установленным на основе международных принципов классификации опасных грузов;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2.6. Различные группы изделий на основе взрывчатых веще</w:t>
      </w:r>
      <w:proofErr w:type="gramStart"/>
      <w:r>
        <w:t>ств пр</w:t>
      </w:r>
      <w:proofErr w:type="gramEnd"/>
      <w:r>
        <w:t>и предусмотренных в технической документации условиях (изготовления, упаковки, транспортирования, хранения, применения) должны: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а) исключать возможность преждевременного взрыва;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б) надежно детонировать от средств инициирования;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в) обеспечивать передачу детонации от изделия к изделию с учетом условий их размещения при применении;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г) обеспечивать достаточную прочность оболочки или корпуса, исключающую их повреждение при механических нагрузках;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д) обеспечивать требуемую водостойкость;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ж) исключать инициирование взрыва взрывоопасной среды, если они разработаны и изготовлены для применения в ней;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з) обеспечивать сохранение нормируемых характеристик в интервале эксплуатационных температур;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и) обеспечивать сохранение нормируемых характеристик в течение гарантийного срока хранения;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lastRenderedPageBreak/>
        <w:t>е) обеспечивать стойкость к статическому электричеству;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2.7. Требования для электродетонаторов и волноводов: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а) электродетонаторы должны иметь следующие характеристики: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значение безопасного тока не менее 0,18</w:t>
      </w:r>
      <w:proofErr w:type="gramStart"/>
      <w:r>
        <w:t xml:space="preserve"> А</w:t>
      </w:r>
      <w:proofErr w:type="gramEnd"/>
      <w:r>
        <w:t>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длительный воспламеняющий ток не менее 0,22</w:t>
      </w:r>
      <w:proofErr w:type="gramStart"/>
      <w:r>
        <w:t xml:space="preserve"> А</w:t>
      </w:r>
      <w:proofErr w:type="gramEnd"/>
      <w:r>
        <w:t>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безопасный импульс воспламенения не менее 0,6 </w:t>
      </w:r>
      <w:r w:rsidRPr="009F437D">
        <w:rPr>
          <w:position w:val="-5"/>
        </w:rPr>
        <w:pict>
          <v:shape id="_x0000_i1025" style="width:19.25pt;height:16.75pt" coordsize="" o:spt="100" adj="0,,0" path="" filled="f" stroked="f">
            <v:stroke joinstyle="miter"/>
            <v:imagedata r:id="rId8" o:title="base_1_214690_32768"/>
            <v:formulas/>
            <v:path o:connecttype="segments"/>
          </v:shape>
        </w:pict>
      </w:r>
      <w:r>
        <w:t>.</w:t>
      </w:r>
      <w:proofErr w:type="spellStart"/>
      <w:r>
        <w:t>мс</w:t>
      </w:r>
      <w:proofErr w:type="spellEnd"/>
      <w:r>
        <w:t>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б) волноводы (ударные трубки) неэлектрических систем инициирования не должны возбуждать детонацию боковой поверхностью контактирующих с ней взрывчатых веществ и других средств инициирования;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2.8. Изготовителем для показателей взрывчатых веществ и изделий на их основе, предусмотренных в технической документации, должны быть указаны методы контроля.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 Требования безопасности при изготовлении взрывчатых веществ и изделий на их основе: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Взрывчатые вещества (за исключением взрывчатых веществ, указанных в </w:t>
      </w:r>
      <w:hyperlink w:anchor="P51" w:history="1">
        <w:r>
          <w:rPr>
            <w:color w:val="0000FF"/>
          </w:rPr>
          <w:t>подпункте б</w:t>
        </w:r>
      </w:hyperlink>
      <w:r>
        <w:t xml:space="preserve">) и эмульсий и матриц, указанных в </w:t>
      </w:r>
      <w:hyperlink w:anchor="P52" w:history="1">
        <w:r>
          <w:rPr>
            <w:color w:val="0000FF"/>
          </w:rPr>
          <w:t>подпункте в) пункта 1 статьи 1</w:t>
        </w:r>
      </w:hyperlink>
      <w:r>
        <w:t xml:space="preserve"> настоящего технического регламента) и изделия на их основе могут изготавливаться при наличии Разрешения на постоянное применение, выданного одним из уполномоченных органов в области промышленной безопасности государства - члена Таможенного союза;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r>
        <w:t>3.2. Взрывчатые вещества и изделия на их основе должны обладать техническими характеристиками, требования к которым установлены в настоящем техническом регламенте, чтобы гарантировать их максимально возможную степень безопасности;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3.3. Изготовление взрывчатых веществ и изделий на их основе должно осуществляться в соответствии с технической документацией и требованиями настоящего технического регламента;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3.4. В технологическом регламенте должны быть предусмотрены показатели, которые необходимо проверять при входном контроле компонентов и сырья, используемых для изготовления взрывчатых веществ и изделий на их основе;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3.5. Параметры технологических процессов, влияющие на нормируемые характеристики выпускаемых взрывчатых веществ и изделий на их основе, должны быть указаны в технологическом регламенте, конструкторской документации с точностью, обеспечивающей </w:t>
      </w:r>
      <w:proofErr w:type="spellStart"/>
      <w:r>
        <w:t>воспроизводимость</w:t>
      </w:r>
      <w:proofErr w:type="spellEnd"/>
      <w:r>
        <w:t xml:space="preserve"> их характеристик;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3.6. Параметры технологических процессов, влияющие на нормируемые характеристики изготавливаемых взрывчатых веществ и изделий на их основе, должны документироваться при их изготовлении. Срок хранения документированных записей должен быть не меньше гарантийного срока хранения взрывчатых веществ и изделий на их основе;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3.7. Изготовитель взрывчатых веществ и изделий на их основе обязан проводить необходимые испытания (измерения), предусмотренные технической документацией на эти взрывчатые вещества и изделия на их основе;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3.8. </w:t>
      </w:r>
      <w:proofErr w:type="gramStart"/>
      <w:r>
        <w:t xml:space="preserve">Организация технологических процессов должна исключать возможность попадания в готовые взрывчатые вещества и изделия на их основе веществ или предметов, влияющих на их свойства или влияющих на безопасность при их перевозке (транспортировании), хранении, применении, а также должна исключать возможность смешения бракованных взрывчатых </w:t>
      </w:r>
      <w:r>
        <w:lastRenderedPageBreak/>
        <w:t>веществ и изделий на их основе, отходов производства с готовыми взрывчатыми веществами и изделиями на их основе.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r>
        <w:t>4. Требования к упаковке.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Упаковка должна быть прочной, полностью исключать утечку или просыпание взрывчатых веществ или выпадение изделий, обеспечивать их сохранность и безопасность в процессе перевозки (транспортирования) всеми видами транспорта в любых климатических условиях, в том числе при погрузочно-разгрузочных работах, а также при хранении.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5. Требования безопасности при применении взрывчатых веществ и изделий на их основе: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5.1. Взрывчатые вещества и изделия на их основе должны подвергаться испытаниям потребителем в целях определения безопасности при хранении и применении в соответствии с показателями технической документации: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а) при поступлении от изготовителя (входной контроль);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б) при возникновении сомнений в доброкачественности (по внешнему осмотру или при неудовлетворительных результатах взрывных работ (неполные взрывы, отказы);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в) до истечения гарантийного срока хранения.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Результаты испытаний должны быть оформлены актом с последующей записью в журнале учета испытаний;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5.2. Не допускается применять и хранить взрывчатые вещества и изделия на их основе с истекшим гарантийным сроком хранения без испытаний, предусмотренных технической документацией.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6. Требования безопасности при перевозке (транспортировании) взрывчатых веществ и изделий на их основе.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Перевозка (транспортирование) взрывчатых вещества и изделий на их основе должна осуществляться в соответствии с нормами и правилами перевозки опасных грузов, действующими на единой таможенной территории государств - членов Таможенного союза.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7. Требования безопасности при хранении взрывчатых веществ и изделий на их основе: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7.1. Условия хранения должны исключать влияние окружающей среды на характеристики взрывчатых веществ и изделий на их основе и соответствовать требованиям нормативной и/или технической документации, в том числе руководству (инструкции) по применению;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7.2. Взрывчатые вещества и изделия на их основе на складах должны быть размещены с учетом их совместимости при хранении;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7.3. Временное хранение на </w:t>
      </w:r>
      <w:proofErr w:type="gramStart"/>
      <w:r>
        <w:t>складах</w:t>
      </w:r>
      <w:proofErr w:type="gramEnd"/>
      <w:r>
        <w:t xml:space="preserve"> пришедших в негодность и бракованных взрывчатых веществ и изделий на их основе должно осуществляться только в специально выделенном месте, обозначенном предупредительной надписью "ВНИМАНИЕ БРАК". На упаковку с пришедшими в негодность и бракованными взрывчатыми веществами и изделиями на их основе крепится табличка с аналогичной надписью и (или) аналогичная надпись наносится на упаковку;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7.4. При несоответствии показателей, полученных в результате испытаний, показателям, указанным в технической документации, взрывчатые вещества и изделия на их основе не допускаются к применению и должны быть уничтожены в минимально возможные сроки.</w:t>
      </w: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  <w:outlineLvl w:val="1"/>
      </w:pPr>
      <w:r>
        <w:t xml:space="preserve">Статья 6. ПОРЯДОК ОФОРМЛЕНИЯ РАЗРЕШЕНИЯ НА </w:t>
      </w:r>
      <w:proofErr w:type="gramStart"/>
      <w:r>
        <w:t>ПОСТОЯННОЕ</w:t>
      </w:r>
      <w:proofErr w:type="gramEnd"/>
    </w:p>
    <w:p w:rsidR="000260AD" w:rsidRDefault="000260AD">
      <w:pPr>
        <w:pStyle w:val="ConsPlusNormal"/>
        <w:jc w:val="center"/>
      </w:pPr>
      <w:r>
        <w:lastRenderedPageBreak/>
        <w:t>ПРИМЕНЕНИЕ ВЗРЫВЧАТЫХ ВЕЩЕСТВ И ИЗДЕЛИЙ НА ИХ ОСНОВЕ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 xml:space="preserve">1. На новые взрывчатые вещества и изделия на их основе, указанные в </w:t>
      </w:r>
      <w:hyperlink w:anchor="P50" w:history="1">
        <w:r>
          <w:rPr>
            <w:color w:val="0000FF"/>
          </w:rPr>
          <w:t>подпункте а) пункта 1 статьи 1</w:t>
        </w:r>
      </w:hyperlink>
      <w:r>
        <w:t xml:space="preserve"> настоящего технического регламента, должно быть оформлено Разрешение на постоянное применение, выданное одним из уполномоченных органов в области промышленной безопасности государства - члена Таможенного союза (далее - Разрешение).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 Для получения Разрешения заявитель представляет в уполномоченный орган в области промышленной безопасности государства - члена Таможенного союза заявление с приложением акта приемочных испытаний опытной партии и экспертного заключения по промышленной безопасности.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3. Разрешение на новые взрывчатые вещества и изделия на их основе выдается уполномоченным органом в области промышленной безопасности государства - члена Таможенного союза после проведения контрольных и приемочных испытаний в производственных условиях в соответствии с национальным законодательством государства - члена Таможенного союза.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4. В состав комиссии по проведению испытаний должны быть включены представители изготовителя, разработчика, организации, в которой проводятся испытания, экспертной организации, уполномоченного органа в области промышленной безопасности государства - члена Таможенного союза, других органов (по согласованию).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5. Масса опытных партий взрывчатых веществ, необходимая для проведения приемочных испытаний, приведена в </w:t>
      </w:r>
      <w:hyperlink w:anchor="P392" w:history="1">
        <w:r>
          <w:rPr>
            <w:color w:val="0000FF"/>
          </w:rPr>
          <w:t>приложении 5</w:t>
        </w:r>
      </w:hyperlink>
      <w:r>
        <w:t xml:space="preserve"> к настоящему техническому регламенту.</w:t>
      </w:r>
    </w:p>
    <w:p w:rsidR="000260AD" w:rsidRDefault="000260AD">
      <w:pPr>
        <w:pStyle w:val="ConsPlusNormal"/>
        <w:spacing w:before="220"/>
        <w:ind w:firstLine="540"/>
        <w:jc w:val="both"/>
      </w:pPr>
      <w:proofErr w:type="gramStart"/>
      <w:r>
        <w:t xml:space="preserve">Для специального класса взрывчатых веществ, указанных в </w:t>
      </w:r>
      <w:hyperlink w:anchor="P219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масса опытной партии взрывчатых веществ, количество средств инициирования, зарядов и зарядных комплектов для </w:t>
      </w:r>
      <w:proofErr w:type="spellStart"/>
      <w:r>
        <w:t>прострелочных</w:t>
      </w:r>
      <w:proofErr w:type="spellEnd"/>
      <w:r>
        <w:t xml:space="preserve"> и взрывных работ устанавливаются разработчиком в программе и методике испытаний, согласованной с экспертной организацией и уполномоченным органом в области промышленной безопасности государства - члена Таможенного союза.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6. Разрешение выдается по форме согласно </w:t>
      </w:r>
      <w:hyperlink w:anchor="P420" w:history="1">
        <w:r>
          <w:rPr>
            <w:color w:val="0000FF"/>
          </w:rPr>
          <w:t>приложению 6</w:t>
        </w:r>
      </w:hyperlink>
      <w:r>
        <w:t xml:space="preserve"> к настоящему техническому регламенту и имеет одинаковую силу на территориях государств - членов Таможенного союза.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bookmarkStart w:id="7" w:name="P185"/>
      <w:bookmarkEnd w:id="7"/>
      <w:r>
        <w:t>Статья 7. ПОДТВЕРЖДЕНИЕ СООТВЕТСТВИЯ ВЗРЫВЧАТЫХ ВЕЩЕСТВ</w:t>
      </w:r>
    </w:p>
    <w:p w:rsidR="000260AD" w:rsidRDefault="000260AD">
      <w:pPr>
        <w:pStyle w:val="ConsPlusNormal"/>
        <w:jc w:val="center"/>
      </w:pPr>
      <w:r>
        <w:t>И ИЗДЕЛИЙ НА ИХ ОСНОВЕ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>1. Взрывчатые вещества и изделия на их основе, выпускаемые в обращение на единой таможенной территории государств - членов Таможенного союза, подлежат подтверждению соответствия требованиям настоящего технического регламента.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Подтверждение соответствия требованиям настоящего технического регламента проводится в форме сертификации.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2. Для взрывчатых веществ и изделий на их основе, изготавливаемых для собственных нужд, подтверждение соответствия не требуется.</w:t>
      </w:r>
    </w:p>
    <w:p w:rsidR="000260AD" w:rsidRDefault="000260AD">
      <w:pPr>
        <w:pStyle w:val="ConsPlusNormal"/>
        <w:spacing w:before="220"/>
        <w:ind w:firstLine="540"/>
        <w:jc w:val="both"/>
      </w:pPr>
      <w:bookmarkStart w:id="8" w:name="P191"/>
      <w:bookmarkEnd w:id="8"/>
      <w:r>
        <w:t xml:space="preserve">3. Сертификация взрывчатых веществ и изделий на их основе осуществляется по </w:t>
      </w:r>
      <w:hyperlink r:id="rId9" w:history="1">
        <w:r>
          <w:rPr>
            <w:color w:val="0000FF"/>
          </w:rPr>
          <w:t>схемам 3с</w:t>
        </w:r>
      </w:hyperlink>
      <w:r>
        <w:t xml:space="preserve">, </w:t>
      </w:r>
      <w:hyperlink r:id="rId10" w:history="1">
        <w:r>
          <w:rPr>
            <w:color w:val="0000FF"/>
          </w:rPr>
          <w:t>7с</w:t>
        </w:r>
      </w:hyperlink>
      <w:r>
        <w:t xml:space="preserve">, </w:t>
      </w:r>
      <w:hyperlink r:id="rId11" w:history="1">
        <w:r>
          <w:rPr>
            <w:color w:val="0000FF"/>
          </w:rPr>
          <w:t>8с</w:t>
        </w:r>
      </w:hyperlink>
      <w:r>
        <w:t xml:space="preserve"> и </w:t>
      </w:r>
      <w:hyperlink r:id="rId12" w:history="1">
        <w:r>
          <w:rPr>
            <w:color w:val="0000FF"/>
          </w:rPr>
          <w:t>9с</w:t>
        </w:r>
      </w:hyperlink>
      <w:r>
        <w:t xml:space="preserve"> 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порядке применения типовых схем оценки (подтверждения) соответствия в технических регламентах Таможенного союза, утвержденным Решением Комиссии Таможенного союза от 7 апреля 2011 года N 621.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4. При сертификации заявителем может выступать зарегистрированное в соответствии с законодательством государств - членов Таможенного союза юридическое лицо, являющееся </w:t>
      </w:r>
      <w:r>
        <w:lastRenderedPageBreak/>
        <w:t>изготовителем, либо лицо, выполняющее функции иностранного изготовителя.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Сертификация осуществляется аккредитованными органами по сертификации (оценке (подтверждению соответствия)), включенными в Единый реестр органов по сертификации и испытательных лабораторий (центров) Таможенного союза.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Испытания в целях подтверждения соответствия осуществляют аккредитованные испытательные лаборатории (центры), включенные в Единый реестр органов по сертификации и испытательных лабораторий (центров) Таможенного союза.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При положительных результатах проверок, предусмотренными схемами сертификации, указанными в </w:t>
      </w:r>
      <w:hyperlink w:anchor="P191" w:history="1">
        <w:r>
          <w:rPr>
            <w:color w:val="0000FF"/>
          </w:rPr>
          <w:t>пункте 3</w:t>
        </w:r>
      </w:hyperlink>
      <w:r>
        <w:t xml:space="preserve"> настоящей статьи, орган по сертификации оформляет сертификат соответствия и выдает его заявителю.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Срок действия сертификата соответствия устанавливается в зависимости от вида и назначения взрывчатых веществ и изделий на их основе, выбранной схемы сертификации, планируемого срока выпуска взрывчатых веществ и изделий на их основе, но не более чем на 3 года.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r>
        <w:t xml:space="preserve">Статья 8. </w:t>
      </w:r>
      <w:hyperlink r:id="rId14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</w:t>
      </w:r>
    </w:p>
    <w:p w:rsidR="000260AD" w:rsidRDefault="000260AD">
      <w:pPr>
        <w:pStyle w:val="ConsPlusNormal"/>
        <w:jc w:val="center"/>
      </w:pPr>
      <w:r>
        <w:t>НА РЫНКЕ ГОСУДАРСТВ - ЧЛЕНОВ ТАМОЖЕННОГО СОЮЗА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Взрывчатые вещества и изделия на их основе, соответствующие требованиям настоящего технического регламента, а также требованиям других технических регламентов Таможенного союза, которые на них распространяются, прошедшие процедуру оценки (подтверждения) соответствия согласно </w:t>
      </w:r>
      <w:hyperlink w:anchor="P185" w:history="1">
        <w:r>
          <w:rPr>
            <w:color w:val="0000FF"/>
          </w:rPr>
          <w:t>статье 7</w:t>
        </w:r>
      </w:hyperlink>
      <w:r>
        <w:t xml:space="preserve"> настоящего технического регламента Таможенного союза и имеющие Разрешение, должны иметь маркировку единым знаком обращения продукции на рынке государств - членов Таможенного союза.</w:t>
      </w:r>
      <w:proofErr w:type="gramEnd"/>
    </w:p>
    <w:p w:rsidR="000260AD" w:rsidRDefault="000260AD">
      <w:pPr>
        <w:pStyle w:val="ConsPlusNormal"/>
        <w:spacing w:before="220"/>
        <w:ind w:firstLine="540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взрывчатых веществ и изделий на их основе в обращение на единой таможенной территории государств - членов Таможенного союза.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Единый знак обращения продукции на рынке государств - членов Таможенного союза наносится на потребительскую упаковку (тару) взрывчатых веществ и изделий на их основе, за исключением взрывчатых веществ и изделий на их основе, изготавливаемых на местах применения и не имеющих упаковки, на изделия на основе взрывчатых веществ любым способом, обеспечивающим четкость его изображения в течение гарантийного срока хранения.</w:t>
      </w:r>
      <w:proofErr w:type="gramEnd"/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  <w:outlineLvl w:val="1"/>
      </w:pPr>
      <w:r>
        <w:t>Статья 9. ЗАЩИТИТЕЛЬНАЯ ОГОВОРКА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  <w:proofErr w:type="gramStart"/>
      <w:r>
        <w:t>Государства - члены Таможенного союза обязаны предпринять все меры для ограничения, запрета выпуска в обращение взрывчатых веществ и изделий на их основе на единой таможенной территории Таможенного союза, а также изъятия с рынка взрывчатых веществ и изделий на их основе, не соответствующих требованиям безопасности настоящего технического регламента Таможенного союза либо поступающих, либо находящихся в обращении без документа об оценке (подтверждении) соответствия</w:t>
      </w:r>
      <w:proofErr w:type="gramEnd"/>
      <w:r>
        <w:t xml:space="preserve"> и (или) без маркировки единым знаком обращения продукции на рынке государств - членов Таможенного союза.</w:t>
      </w:r>
    </w:p>
    <w:p w:rsidR="000260AD" w:rsidRDefault="000260AD">
      <w:pPr>
        <w:pStyle w:val="ConsPlusNormal"/>
        <w:spacing w:before="220"/>
        <w:ind w:firstLine="540"/>
        <w:jc w:val="both"/>
      </w:pPr>
      <w:r>
        <w:t>Компетентный орган государства - члена Таможенного союза обязан в месячный срок уведомить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right"/>
        <w:outlineLvl w:val="1"/>
      </w:pPr>
      <w:r>
        <w:t>Приложение 1</w:t>
      </w:r>
    </w:p>
    <w:p w:rsidR="000260AD" w:rsidRDefault="000260AD">
      <w:pPr>
        <w:pStyle w:val="ConsPlusNormal"/>
        <w:jc w:val="right"/>
      </w:pPr>
      <w:r>
        <w:t>к техническому регламенту</w:t>
      </w:r>
    </w:p>
    <w:p w:rsidR="000260AD" w:rsidRDefault="000260AD">
      <w:pPr>
        <w:pStyle w:val="ConsPlusNormal"/>
        <w:jc w:val="right"/>
      </w:pPr>
      <w:r>
        <w:t xml:space="preserve">"О безопасности </w:t>
      </w:r>
      <w:proofErr w:type="gramStart"/>
      <w:r>
        <w:t>взрывчатых</w:t>
      </w:r>
      <w:proofErr w:type="gramEnd"/>
    </w:p>
    <w:p w:rsidR="000260AD" w:rsidRDefault="000260AD">
      <w:pPr>
        <w:pStyle w:val="ConsPlusNormal"/>
        <w:jc w:val="right"/>
      </w:pPr>
      <w:r>
        <w:t>веществ и изделий на их основе"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jc w:val="center"/>
      </w:pPr>
      <w:bookmarkStart w:id="9" w:name="P219"/>
      <w:bookmarkEnd w:id="9"/>
      <w:r>
        <w:t>КЛАССЫ И ГРУППЫ ВЗРЫВЧАТЫХ ВЕЩЕСТВ И УСЛОВИЯ ИХ ПРИМЕНЕНИЯ</w:t>
      </w:r>
    </w:p>
    <w:p w:rsidR="000260AD" w:rsidRDefault="000260AD">
      <w:pPr>
        <w:pStyle w:val="ConsPlusNormal"/>
        <w:jc w:val="center"/>
      </w:pPr>
    </w:p>
    <w:p w:rsidR="000260AD" w:rsidRDefault="000260AD">
      <w:pPr>
        <w:sectPr w:rsidR="000260AD" w:rsidSect="00A80E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6600"/>
        <w:gridCol w:w="2970"/>
      </w:tblGrid>
      <w:tr w:rsidR="000260AD">
        <w:tc>
          <w:tcPr>
            <w:tcW w:w="1320" w:type="dxa"/>
          </w:tcPr>
          <w:p w:rsidR="000260AD" w:rsidRDefault="000260AD">
            <w:pPr>
              <w:pStyle w:val="ConsPlusNormal"/>
            </w:pPr>
            <w:r>
              <w:lastRenderedPageBreak/>
              <w:t>Кла</w:t>
            </w:r>
            <w:proofErr w:type="gramStart"/>
            <w:r>
              <w:t>сс взр</w:t>
            </w:r>
            <w:proofErr w:type="gramEnd"/>
            <w:r>
              <w:t>ывчатых веществ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</w:pPr>
            <w:r>
              <w:t>Группы взрывчатых веществ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center"/>
            </w:pPr>
            <w:r>
              <w:t>Вид взрывчатых веществ и условия применения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Цвет отличительной полосы или оболочек патронов (пачек)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4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Непредохранительные взрывчатые вещества для взрывания только на земной поверхности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Белый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 xml:space="preserve">Непредохранительные взрывчатые вещества для взрывания на земной поверхности и в забоях подземных выработок, в которых либо отсутствует выделение горючих газов или взрывчатой угольной (сланцевой) пыли, либо применяется </w:t>
            </w:r>
            <w:proofErr w:type="spellStart"/>
            <w:r>
              <w:t>инертизация</w:t>
            </w:r>
            <w:proofErr w:type="spellEnd"/>
            <w:r>
              <w:t xml:space="preserve"> </w:t>
            </w:r>
            <w:proofErr w:type="spellStart"/>
            <w:r>
              <w:t>призабойного</w:t>
            </w:r>
            <w:proofErr w:type="spellEnd"/>
            <w:r>
              <w:t xml:space="preserve"> пространства, </w:t>
            </w:r>
            <w:proofErr w:type="gramStart"/>
            <w:r>
              <w:t>исключающая</w:t>
            </w:r>
            <w:proofErr w:type="gramEnd"/>
            <w:r>
              <w:t xml:space="preserve"> воспламенение взрывоопасной среды при взрывных работах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Красный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Предохранительные взрывчатые вещества для взрывания только по породе в забоях подземных выработок, в которых имеется выделение горючих газов, но отсутствует взрывчатая угольная (сланцевая) пыль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Синий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proofErr w:type="gramStart"/>
            <w:r>
              <w:t>Предохранительные взрывчатые вещества для взрывания: по углю и (или) породе или горючим сланцам в забоях подземных выработок, опасных по взрыву угольной (сланцевой) пыли при отсутствии выделения горючих газов; по углю и (или) породе в забоях подземных выработок, проводимых по угольному пласту, в которых имеется выделение горючих газов, кроме выработок с повышенным выделением горючих газов;</w:t>
            </w:r>
            <w:proofErr w:type="gramEnd"/>
            <w:r>
              <w:t xml:space="preserve"> для сотрясательного взрывания в забоях подземных выработок угольных шахт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Желтый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Предохранительные взрывчатые вещества для взрывания по углю и (или) породе в выработках с повышенным выделением горючих газов, проводимых по угольному пласту, когда исключен контакт боковой поверхности шпурового заряда с газ</w:t>
            </w:r>
            <w:proofErr w:type="gramStart"/>
            <w:r>
              <w:t>о-</w:t>
            </w:r>
            <w:proofErr w:type="gramEnd"/>
            <w:r>
              <w:t xml:space="preserve"> воздушной смесью, находящейся либо в пересекающих шпур трещинах массива горных </w:t>
            </w:r>
            <w:r>
              <w:lastRenderedPageBreak/>
              <w:t>пород, либо в выработке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Желтый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VI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Предохранительные взрывчатые вещества для взрывания: по углю и (или) породе в выработках с повышенным выделением горючих газов, проводимых в условиях, когда возможен контакт боковой поверхности шпурового заряда с газ</w:t>
            </w:r>
            <w:proofErr w:type="gramStart"/>
            <w:r>
              <w:t>о-</w:t>
            </w:r>
            <w:proofErr w:type="gramEnd"/>
            <w:r>
              <w:t xml:space="preserve"> воздушной смесью, находящейся либо в пересекающих шпур трещинах горного массива, либо в выработке; в угольных и смешанных забоях восстающих (более 10°) выработок, в которых выделяется горючий газ, при длине выработок более 20 м и проведении их без предварительно пробуренных скважин, обеспечивающих проветривание за счет </w:t>
            </w:r>
            <w:proofErr w:type="spellStart"/>
            <w:r>
              <w:t>общешахтной</w:t>
            </w:r>
            <w:proofErr w:type="spellEnd"/>
            <w:r>
              <w:t xml:space="preserve"> депрессии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Желтый</w:t>
            </w:r>
          </w:p>
        </w:tc>
      </w:tr>
      <w:tr w:rsidR="000260AD"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proofErr w:type="gramStart"/>
            <w:r>
              <w:t>Предохранительные взрывчатые вещества и изделия из предохранительных взрывчатых веществ V - VI классов для ведения специальных взрывных работ (</w:t>
            </w:r>
            <w:proofErr w:type="spellStart"/>
            <w:r>
              <w:t>водораспыление</w:t>
            </w:r>
            <w:proofErr w:type="spellEnd"/>
            <w:r>
              <w:t xml:space="preserve"> и распыление порошкообразных ингибиторов, взрывное перебивание деревянных стоек при посадке кровли, ликвидация зависания горной массы в </w:t>
            </w:r>
            <w:proofErr w:type="spellStart"/>
            <w:r>
              <w:t>углеперепускных</w:t>
            </w:r>
            <w:proofErr w:type="spellEnd"/>
            <w:r>
              <w:t xml:space="preserve"> выработках, дробление негабаритов) в забоях подземных выработок, в которых возможно образование взрывоопасной концентрации горючего газа и угольной пыли</w:t>
            </w:r>
            <w:proofErr w:type="gramEnd"/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Желтый</w:t>
            </w:r>
          </w:p>
        </w:tc>
      </w:tr>
      <w:tr w:rsidR="000260AD">
        <w:tc>
          <w:tcPr>
            <w:tcW w:w="1320" w:type="dxa"/>
            <w:vMerge w:val="restart"/>
          </w:tcPr>
          <w:p w:rsidR="000260AD" w:rsidRDefault="000260AD">
            <w:pPr>
              <w:pStyle w:val="ConsPlusNormal"/>
            </w:pPr>
            <w:proofErr w:type="spellStart"/>
            <w:r>
              <w:t>Спец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альный</w:t>
            </w:r>
            <w:proofErr w:type="spellEnd"/>
            <w:r>
              <w:t xml:space="preserve"> (С)</w:t>
            </w:r>
          </w:p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Непредохранительные и предохранительные взрывчатые вещества и изделия на их основе, предназначенные для специальных взрывных работ, кроме забоев подземных выработок, в которых возможно образование взрывоопасной концентрации горючего газа и угольной (сланцевой) пыли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-</w:t>
            </w:r>
          </w:p>
        </w:tc>
      </w:tr>
      <w:tr w:rsidR="000260AD">
        <w:tc>
          <w:tcPr>
            <w:tcW w:w="1320" w:type="dxa"/>
            <w:vMerge/>
          </w:tcPr>
          <w:p w:rsidR="000260AD" w:rsidRDefault="000260AD"/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 xml:space="preserve">Взрывные работы на земной поверхности: импульсная обработка металлов; инициирование скважинных и сосредоточенных зарядов; контурное взрывание для </w:t>
            </w:r>
            <w:proofErr w:type="spellStart"/>
            <w:r>
              <w:t>заоткоски</w:t>
            </w:r>
            <w:proofErr w:type="spellEnd"/>
            <w:r>
              <w:t xml:space="preserve"> уступов; разрушение мерзлых грунтов; дробление негабаритных кусков горной массы; сейсморазведочные работы в скважинах; создание заградительных </w:t>
            </w:r>
            <w:r>
              <w:lastRenderedPageBreak/>
              <w:t>полос при локализации лесных пожаров, другие специальные работы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Белый</w:t>
            </w:r>
          </w:p>
        </w:tc>
      </w:tr>
      <w:tr w:rsidR="000260AD">
        <w:tc>
          <w:tcPr>
            <w:tcW w:w="1320" w:type="dxa"/>
            <w:vMerge/>
          </w:tcPr>
          <w:p w:rsidR="000260AD" w:rsidRDefault="000260AD"/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Взрывные работы в забоях подземных выработок, не опасных по газу и (или) угольной (сланцевой) пыли; взрывание сульфидных руд; дробление негабаритных кусков горной массы; контурное взрывание, другие специальные работы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Красный</w:t>
            </w:r>
          </w:p>
        </w:tc>
      </w:tr>
      <w:tr w:rsidR="000260AD">
        <w:tc>
          <w:tcPr>
            <w:tcW w:w="1320" w:type="dxa"/>
            <w:vMerge/>
          </w:tcPr>
          <w:p w:rsidR="000260AD" w:rsidRDefault="000260AD"/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Прострелочно-взрывные работы в разведочных, нефтяных, газовых скважинах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Черный</w:t>
            </w:r>
          </w:p>
        </w:tc>
      </w:tr>
      <w:tr w:rsidR="000260AD">
        <w:tc>
          <w:tcPr>
            <w:tcW w:w="1320" w:type="dxa"/>
            <w:vMerge/>
          </w:tcPr>
          <w:p w:rsidR="000260AD" w:rsidRDefault="000260AD"/>
        </w:tc>
        <w:tc>
          <w:tcPr>
            <w:tcW w:w="1320" w:type="dxa"/>
          </w:tcPr>
          <w:p w:rsidR="000260AD" w:rsidRDefault="000260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both"/>
            </w:pPr>
            <w:r>
              <w:t>Взрывные работы в серных, нефтяных и других шахтах, опасных по взрыву серной пыли, водорода и паров тяжелых углеводородов</w:t>
            </w:r>
          </w:p>
        </w:tc>
        <w:tc>
          <w:tcPr>
            <w:tcW w:w="2970" w:type="dxa"/>
          </w:tcPr>
          <w:p w:rsidR="000260AD" w:rsidRDefault="000260AD">
            <w:pPr>
              <w:pStyle w:val="ConsPlusNormal"/>
              <w:jc w:val="center"/>
            </w:pPr>
            <w:r>
              <w:t>Зеленый</w:t>
            </w:r>
          </w:p>
        </w:tc>
      </w:tr>
    </w:tbl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  <w:outlineLvl w:val="1"/>
      </w:pPr>
      <w:r>
        <w:t>Приложение 2</w:t>
      </w:r>
    </w:p>
    <w:p w:rsidR="000260AD" w:rsidRDefault="000260AD">
      <w:pPr>
        <w:pStyle w:val="ConsPlusNormal"/>
        <w:jc w:val="right"/>
      </w:pPr>
      <w:r>
        <w:t>к техническому регламенту</w:t>
      </w:r>
    </w:p>
    <w:p w:rsidR="000260AD" w:rsidRDefault="000260AD">
      <w:pPr>
        <w:pStyle w:val="ConsPlusNormal"/>
        <w:jc w:val="right"/>
      </w:pPr>
      <w:r>
        <w:t xml:space="preserve">"О безопасности </w:t>
      </w:r>
      <w:proofErr w:type="gramStart"/>
      <w:r>
        <w:t>взрывчатых</w:t>
      </w:r>
      <w:proofErr w:type="gramEnd"/>
    </w:p>
    <w:p w:rsidR="000260AD" w:rsidRDefault="000260AD">
      <w:pPr>
        <w:pStyle w:val="ConsPlusNormal"/>
        <w:jc w:val="right"/>
      </w:pPr>
      <w:r>
        <w:t>веществ и изделий на их основе"</w:t>
      </w: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center"/>
      </w:pPr>
      <w:bookmarkStart w:id="10" w:name="P283"/>
      <w:bookmarkEnd w:id="10"/>
      <w:r>
        <w:t>ПОДКЛАССЫ ВЗРЫВЧАТЫХ ВЕЩЕСТВ И ИЗДЕЛИЙ НА ИХ ОСНОВЕ</w:t>
      </w:r>
    </w:p>
    <w:p w:rsidR="000260AD" w:rsidRDefault="000260A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10395"/>
      </w:tblGrid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t>Номер подкласса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center"/>
            </w:pPr>
            <w:r>
              <w:t>Наименование подкласса</w:t>
            </w:r>
          </w:p>
        </w:tc>
      </w:tr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и изделия на их основе, способные взрываться массой</w:t>
            </w:r>
          </w:p>
        </w:tc>
      </w:tr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и изделия на их основе, не взрывающиеся массой, но имеющие при взрыве опасность разбрасывания и существенного повреждения окружающих предметов</w:t>
            </w:r>
          </w:p>
        </w:tc>
      </w:tr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и изделия на их основе пожароопасные, не взрывающиеся массой</w:t>
            </w:r>
          </w:p>
        </w:tc>
      </w:tr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и изделия на их основе, представляющие незначительную опасность взрыва во время транспортирования только в случае воспламенения или инициирования. Действие взрыва ограничивается упаковкой. Внешний источник инициирования не должен вызывать мгновенного взрыва содержимого упаковки</w:t>
            </w:r>
          </w:p>
        </w:tc>
      </w:tr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both"/>
            </w:pPr>
            <w:proofErr w:type="gramStart"/>
            <w:r>
              <w:t>Взрывчатые вещества и изделия на их основе с опасностью взрыва массой, но обладающие очень низкой чувствительностью, у которых при нормальных условиях транспортирования не должно произойти инициирования или перехода от горения к детонации</w:t>
            </w:r>
            <w:proofErr w:type="gramEnd"/>
          </w:p>
        </w:tc>
      </w:tr>
      <w:tr w:rsidR="000260AD">
        <w:tc>
          <w:tcPr>
            <w:tcW w:w="1815" w:type="dxa"/>
          </w:tcPr>
          <w:p w:rsidR="000260AD" w:rsidRDefault="000260AD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0395" w:type="dxa"/>
          </w:tcPr>
          <w:p w:rsidR="000260AD" w:rsidRDefault="000260AD">
            <w:pPr>
              <w:pStyle w:val="ConsPlusNormal"/>
              <w:jc w:val="both"/>
            </w:pPr>
            <w:r>
              <w:t>Изделия на основе взрывчатых веществ, чрезвычайно низкой чувствительности, не взрывающиеся массой и характеризующиеся низкой вероятностью случайного инициирования. Опасность, обусловленная изделиями подкласса 1.6, ограничивается взрывом одного изделия</w:t>
            </w:r>
          </w:p>
        </w:tc>
      </w:tr>
    </w:tbl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right"/>
        <w:outlineLvl w:val="1"/>
      </w:pPr>
      <w:r>
        <w:t>Приложение 3</w:t>
      </w:r>
    </w:p>
    <w:p w:rsidR="000260AD" w:rsidRDefault="000260AD">
      <w:pPr>
        <w:pStyle w:val="ConsPlusNormal"/>
        <w:jc w:val="right"/>
      </w:pPr>
      <w:r>
        <w:t>к техническому регламенту</w:t>
      </w:r>
    </w:p>
    <w:p w:rsidR="000260AD" w:rsidRDefault="000260AD">
      <w:pPr>
        <w:pStyle w:val="ConsPlusNormal"/>
        <w:jc w:val="right"/>
      </w:pPr>
      <w:r>
        <w:t xml:space="preserve">"О безопасности </w:t>
      </w:r>
      <w:proofErr w:type="gramStart"/>
      <w:r>
        <w:t>взрывчатых</w:t>
      </w:r>
      <w:proofErr w:type="gramEnd"/>
    </w:p>
    <w:p w:rsidR="000260AD" w:rsidRDefault="000260AD">
      <w:pPr>
        <w:pStyle w:val="ConsPlusNormal"/>
        <w:jc w:val="right"/>
      </w:pPr>
      <w:r>
        <w:t>веществ и изделий на их основе"</w:t>
      </w: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center"/>
      </w:pPr>
      <w:bookmarkStart w:id="11" w:name="P309"/>
      <w:bookmarkEnd w:id="11"/>
      <w:r>
        <w:t>ГРУППЫ</w:t>
      </w:r>
    </w:p>
    <w:p w:rsidR="000260AD" w:rsidRDefault="000260AD">
      <w:pPr>
        <w:pStyle w:val="ConsPlusNormal"/>
        <w:jc w:val="center"/>
      </w:pPr>
      <w:r>
        <w:t>СОВМЕСТИМОСТИ ВЗРЫВЧАТЫХ ВЕЩЕСТВ И ИЗДЕЛИЙ НА ИХ ОСНОВЕ</w:t>
      </w:r>
    </w:p>
    <w:p w:rsidR="000260AD" w:rsidRDefault="000260A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9075"/>
        <w:gridCol w:w="1650"/>
      </w:tblGrid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Группа совместимости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center"/>
            </w:pPr>
            <w:r>
              <w:t>Наименование вещества, изделия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Классификационный шифр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3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Изделия, содержащие инициирующие взрывчатые вещества и имеющие менее двух независимых предохранительных устройств. Включаются также такие изделия, как капсюли-</w:t>
            </w:r>
            <w:r>
              <w:lastRenderedPageBreak/>
              <w:t>детонаторы, сборки детонаторов и капсюли, не содержащие инициирующего взрывчатого вещества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1.1B</w:t>
            </w:r>
          </w:p>
          <w:p w:rsidR="000260AD" w:rsidRDefault="000260AD">
            <w:pPr>
              <w:pStyle w:val="ConsPlusNormal"/>
              <w:jc w:val="center"/>
            </w:pPr>
            <w:r>
              <w:t>1.2B</w:t>
            </w:r>
          </w:p>
          <w:p w:rsidR="000260AD" w:rsidRDefault="000260AD">
            <w:pPr>
              <w:pStyle w:val="ConsPlusNormal"/>
              <w:jc w:val="center"/>
            </w:pPr>
            <w:r>
              <w:lastRenderedPageBreak/>
              <w:t>1.4B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C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Метательные взрывчатые вещества и изделия (бездымный порох)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both"/>
            </w:pP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и изделия на их основе без средств инициирования и метательных зарядов; изделия, содержащие инициирующие взрывчатые вещества и имеющие два или более независимых предохранительных устройства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1.1D</w:t>
            </w:r>
          </w:p>
          <w:p w:rsidR="000260AD" w:rsidRDefault="000260AD">
            <w:pPr>
              <w:pStyle w:val="ConsPlusNormal"/>
              <w:jc w:val="center"/>
            </w:pPr>
            <w:r>
              <w:t>1.2D</w:t>
            </w:r>
          </w:p>
          <w:p w:rsidR="000260AD" w:rsidRDefault="000260AD">
            <w:pPr>
              <w:pStyle w:val="ConsPlusNormal"/>
              <w:jc w:val="center"/>
            </w:pPr>
            <w:r>
              <w:t>1.4D</w:t>
            </w:r>
          </w:p>
          <w:p w:rsidR="000260AD" w:rsidRDefault="000260AD">
            <w:pPr>
              <w:pStyle w:val="ConsPlusNormal"/>
              <w:jc w:val="center"/>
            </w:pPr>
            <w:r>
              <w:t>1.5D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Изделия, содержащие взрывчатые вещества без средств инициирования, но с метательным зарядом (</w:t>
            </w:r>
            <w:proofErr w:type="gramStart"/>
            <w:r>
              <w:t>кроме</w:t>
            </w:r>
            <w:proofErr w:type="gramEnd"/>
            <w:r>
              <w:t xml:space="preserve"> содержащих легковоспламеняющуюся жидкость или гель или самовоспламеняющуюся жидкость)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1.1E</w:t>
            </w:r>
          </w:p>
          <w:p w:rsidR="000260AD" w:rsidRDefault="000260AD">
            <w:pPr>
              <w:pStyle w:val="ConsPlusNormal"/>
              <w:jc w:val="center"/>
            </w:pPr>
            <w:r>
              <w:t>1.2E</w:t>
            </w:r>
          </w:p>
          <w:p w:rsidR="000260AD" w:rsidRDefault="000260AD">
            <w:pPr>
              <w:pStyle w:val="ConsPlusNormal"/>
              <w:jc w:val="center"/>
            </w:pPr>
            <w:r>
              <w:t>1.4E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Изделия, содержащие вторичные детонирующие взрывчатые вещества, средства инициирования и метательные заряды, или без метательных зарядов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1.1F</w:t>
            </w:r>
          </w:p>
          <w:p w:rsidR="000260AD" w:rsidRDefault="000260AD">
            <w:pPr>
              <w:pStyle w:val="ConsPlusNormal"/>
              <w:jc w:val="center"/>
            </w:pPr>
            <w:r>
              <w:t>1.2F</w:t>
            </w:r>
          </w:p>
          <w:p w:rsidR="000260AD" w:rsidRDefault="000260AD">
            <w:pPr>
              <w:pStyle w:val="ConsPlusNormal"/>
              <w:jc w:val="center"/>
            </w:pPr>
            <w:r>
              <w:t>1.3F</w:t>
            </w:r>
          </w:p>
          <w:p w:rsidR="000260AD" w:rsidRDefault="000260AD">
            <w:pPr>
              <w:pStyle w:val="ConsPlusNormal"/>
              <w:jc w:val="center"/>
            </w:pPr>
            <w:r>
              <w:t>1.4F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</w:pPr>
            <w:r>
              <w:t>Пиротехнические вещества и изделия, содержащие их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1.1G</w:t>
            </w:r>
          </w:p>
          <w:p w:rsidR="000260AD" w:rsidRDefault="000260AD">
            <w:pPr>
              <w:pStyle w:val="ConsPlusNormal"/>
              <w:jc w:val="center"/>
            </w:pPr>
            <w:r>
              <w:t>1.2G</w:t>
            </w:r>
          </w:p>
          <w:p w:rsidR="000260AD" w:rsidRDefault="000260AD">
            <w:pPr>
              <w:pStyle w:val="ConsPlusNormal"/>
              <w:jc w:val="center"/>
            </w:pPr>
            <w:r>
              <w:t>1.3G</w:t>
            </w:r>
          </w:p>
          <w:p w:rsidR="000260AD" w:rsidRDefault="000260AD">
            <w:pPr>
              <w:pStyle w:val="ConsPlusNormal"/>
              <w:jc w:val="center"/>
            </w:pPr>
            <w:r>
              <w:t>1.4G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или изделия, упакованные или сконструированные так, что при случайном срабатывании любое опасное проявление ограничено самой упаковкой, а если тара разрушена огнем, то эффе</w:t>
            </w:r>
            <w:proofErr w:type="gramStart"/>
            <w:r>
              <w:t>кт взр</w:t>
            </w:r>
            <w:proofErr w:type="gramEnd"/>
            <w:r>
              <w:t>ыва или разбрасывания ограничен, что не препятствует проведению аварийных мер или тушению пожара в непосредственной близости от упаковки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1.4S</w:t>
            </w:r>
          </w:p>
        </w:tc>
      </w:tr>
      <w:tr w:rsidR="000260AD">
        <w:tc>
          <w:tcPr>
            <w:tcW w:w="1485" w:type="dxa"/>
          </w:tcPr>
          <w:p w:rsidR="000260AD" w:rsidRDefault="000260A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5" w:type="dxa"/>
          </w:tcPr>
          <w:p w:rsidR="000260AD" w:rsidRDefault="000260AD">
            <w:pPr>
              <w:pStyle w:val="ConsPlusNormal"/>
              <w:jc w:val="both"/>
            </w:pPr>
            <w:r>
              <w:t>Изделия, содержащие взрывчатые вещества чрезвычайно низкой чувствительности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1.6N</w:t>
            </w:r>
          </w:p>
        </w:tc>
      </w:tr>
    </w:tbl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center"/>
      </w:pPr>
    </w:p>
    <w:p w:rsidR="000260AD" w:rsidRDefault="000260AD">
      <w:pPr>
        <w:pStyle w:val="ConsPlusNormal"/>
        <w:jc w:val="right"/>
        <w:outlineLvl w:val="1"/>
      </w:pPr>
      <w:r>
        <w:lastRenderedPageBreak/>
        <w:t>Приложение 4</w:t>
      </w:r>
    </w:p>
    <w:p w:rsidR="000260AD" w:rsidRDefault="000260AD">
      <w:pPr>
        <w:pStyle w:val="ConsPlusNormal"/>
        <w:jc w:val="right"/>
      </w:pPr>
      <w:r>
        <w:t>к техническому регламенту</w:t>
      </w:r>
    </w:p>
    <w:p w:rsidR="000260AD" w:rsidRDefault="000260AD">
      <w:pPr>
        <w:pStyle w:val="ConsPlusNormal"/>
        <w:jc w:val="right"/>
      </w:pPr>
      <w:r>
        <w:t xml:space="preserve">"О безопасности </w:t>
      </w:r>
      <w:proofErr w:type="gramStart"/>
      <w:r>
        <w:t>взрывчатых</w:t>
      </w:r>
      <w:proofErr w:type="gramEnd"/>
    </w:p>
    <w:p w:rsidR="000260AD" w:rsidRDefault="000260AD">
      <w:pPr>
        <w:pStyle w:val="ConsPlusNormal"/>
        <w:jc w:val="right"/>
      </w:pPr>
      <w:r>
        <w:t>веществ и изделий на их основе"</w:t>
      </w: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center"/>
      </w:pPr>
      <w:bookmarkStart w:id="12" w:name="P365"/>
      <w:bookmarkEnd w:id="12"/>
      <w:r>
        <w:t>ПЕРЕЧЕНЬ</w:t>
      </w:r>
    </w:p>
    <w:p w:rsidR="000260AD" w:rsidRDefault="000260AD">
      <w:pPr>
        <w:pStyle w:val="ConsPlusNormal"/>
        <w:jc w:val="center"/>
      </w:pPr>
      <w:r>
        <w:t>ПОКАЗАТЕЛЕЙ, НЕОБХОДИМЫХ ДЛЯ ОЦЕНКИ БЕЗОПАСНОСТИ ВЗРЫВЧАТЫХ</w:t>
      </w:r>
    </w:p>
    <w:p w:rsidR="000260AD" w:rsidRDefault="000260AD">
      <w:pPr>
        <w:pStyle w:val="ConsPlusNormal"/>
        <w:jc w:val="center"/>
      </w:pPr>
      <w:r>
        <w:t>ВЕЩЕСТВ ПРИ ИХ РАЗРАБОТКЕ</w:t>
      </w:r>
    </w:p>
    <w:p w:rsidR="000260AD" w:rsidRDefault="000260A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10"/>
      </w:tblGrid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Чувствительность к удару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Чувствительность к трению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Тротиловый эквивалент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Критический диаметр детонации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Минимальный инициирующий импульс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Термическая стойкость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Удельное объемное электрическое сопротивление (у водосодержащих взрывчатых веществ только для эмульсионных веществ)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Объем вредных газов в продуктах взрыва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Критическая плотность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Совместимость с конструкционными материалами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Предохранительные свойства (для предохранительных взрывчатых веществ)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Совместимость с агрессивными средами (для взрывчатых веществ, применяемых в сульфидных месторождениях)</w:t>
            </w:r>
          </w:p>
        </w:tc>
      </w:tr>
      <w:tr w:rsidR="000260AD">
        <w:tc>
          <w:tcPr>
            <w:tcW w:w="12210" w:type="dxa"/>
            <w:tcBorders>
              <w:left w:val="single" w:sz="4" w:space="0" w:color="auto"/>
              <w:right w:val="single" w:sz="4" w:space="0" w:color="auto"/>
            </w:tcBorders>
          </w:tcPr>
          <w:p w:rsidR="000260AD" w:rsidRDefault="000260AD">
            <w:pPr>
              <w:pStyle w:val="ConsPlusNormal"/>
            </w:pPr>
            <w:r>
              <w:t>Водоустойчивость</w:t>
            </w:r>
          </w:p>
        </w:tc>
      </w:tr>
    </w:tbl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  <w:outlineLvl w:val="1"/>
      </w:pPr>
      <w:r>
        <w:t>Приложение 5</w:t>
      </w:r>
    </w:p>
    <w:p w:rsidR="000260AD" w:rsidRDefault="000260AD">
      <w:pPr>
        <w:pStyle w:val="ConsPlusNormal"/>
        <w:jc w:val="right"/>
      </w:pPr>
      <w:r>
        <w:t>к техническому регламенту</w:t>
      </w:r>
    </w:p>
    <w:p w:rsidR="000260AD" w:rsidRDefault="000260AD">
      <w:pPr>
        <w:pStyle w:val="ConsPlusNormal"/>
        <w:jc w:val="right"/>
      </w:pPr>
      <w:r>
        <w:t xml:space="preserve">"О безопасности </w:t>
      </w:r>
      <w:proofErr w:type="gramStart"/>
      <w:r>
        <w:t>взрывчатых</w:t>
      </w:r>
      <w:proofErr w:type="gramEnd"/>
    </w:p>
    <w:p w:rsidR="000260AD" w:rsidRDefault="000260AD">
      <w:pPr>
        <w:pStyle w:val="ConsPlusNormal"/>
        <w:jc w:val="right"/>
      </w:pPr>
      <w:r>
        <w:t>веществ и изделий на их основе"</w:t>
      </w: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center"/>
      </w:pPr>
      <w:bookmarkStart w:id="13" w:name="P392"/>
      <w:bookmarkEnd w:id="13"/>
      <w:r>
        <w:t>МИНИМАЛЬНАЯ МАССА</w:t>
      </w:r>
    </w:p>
    <w:p w:rsidR="000260AD" w:rsidRDefault="000260AD">
      <w:pPr>
        <w:pStyle w:val="ConsPlusNormal"/>
        <w:jc w:val="center"/>
      </w:pPr>
      <w:r>
        <w:t xml:space="preserve">ПАРТИИ ВЗРЫВЧАТЫХ ВЕЩЕСТВ, </w:t>
      </w:r>
      <w:proofErr w:type="gramStart"/>
      <w:r>
        <w:t>НЕОБХОДИМАЯ</w:t>
      </w:r>
      <w:proofErr w:type="gramEnd"/>
      <w:r>
        <w:t xml:space="preserve"> ДЛЯ ПРОВЕДЕНИЯ</w:t>
      </w:r>
    </w:p>
    <w:p w:rsidR="000260AD" w:rsidRDefault="000260AD">
      <w:pPr>
        <w:pStyle w:val="ConsPlusNormal"/>
        <w:jc w:val="center"/>
      </w:pPr>
      <w:r>
        <w:t>ПРИЕМОЧНЫХ ИСПЫТАНИЙ</w:t>
      </w:r>
    </w:p>
    <w:p w:rsidR="000260AD" w:rsidRDefault="000260A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0"/>
        <w:gridCol w:w="6600"/>
      </w:tblGrid>
      <w:tr w:rsidR="000260AD">
        <w:tc>
          <w:tcPr>
            <w:tcW w:w="5610" w:type="dxa"/>
          </w:tcPr>
          <w:p w:rsidR="000260AD" w:rsidRDefault="000260AD">
            <w:pPr>
              <w:pStyle w:val="ConsPlusNormal"/>
              <w:jc w:val="center"/>
            </w:pPr>
            <w:r>
              <w:t>Область применения взрывчатых веществ</w:t>
            </w:r>
          </w:p>
        </w:tc>
        <w:tc>
          <w:tcPr>
            <w:tcW w:w="6600" w:type="dxa"/>
          </w:tcPr>
          <w:p w:rsidR="000260AD" w:rsidRDefault="000260AD">
            <w:pPr>
              <w:pStyle w:val="ConsPlusNormal"/>
              <w:jc w:val="center"/>
            </w:pPr>
            <w:r>
              <w:t>Масса взрывчатых веществ, тонн</w:t>
            </w:r>
          </w:p>
        </w:tc>
      </w:tr>
      <w:tr w:rsidR="000260AD">
        <w:tc>
          <w:tcPr>
            <w:tcW w:w="5610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для подземных работ при ручном заряжании шпуров и скважин</w:t>
            </w:r>
          </w:p>
        </w:tc>
        <w:tc>
          <w:tcPr>
            <w:tcW w:w="6600" w:type="dxa"/>
            <w:tcBorders>
              <w:bottom w:val="nil"/>
            </w:tcBorders>
          </w:tcPr>
          <w:p w:rsidR="000260AD" w:rsidRDefault="000260AD">
            <w:pPr>
              <w:pStyle w:val="ConsPlusNormal"/>
              <w:jc w:val="center"/>
            </w:pPr>
            <w:r>
              <w:t>3</w:t>
            </w:r>
          </w:p>
        </w:tc>
      </w:tr>
      <w:tr w:rsidR="000260AD">
        <w:tblPrEx>
          <w:tblBorders>
            <w:insideH w:val="nil"/>
          </w:tblBorders>
        </w:tblPrEx>
        <w:tc>
          <w:tcPr>
            <w:tcW w:w="5610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 для подземных работ при механизированном заряжании шпуров и скважин</w:t>
            </w:r>
          </w:p>
        </w:tc>
        <w:tc>
          <w:tcPr>
            <w:tcW w:w="6600" w:type="dxa"/>
            <w:tcBorders>
              <w:top w:val="nil"/>
              <w:bottom w:val="nil"/>
            </w:tcBorders>
          </w:tcPr>
          <w:p w:rsidR="000260AD" w:rsidRDefault="000260AD">
            <w:pPr>
              <w:pStyle w:val="ConsPlusNormal"/>
              <w:jc w:val="center"/>
            </w:pPr>
            <w:r>
              <w:t>5</w:t>
            </w:r>
          </w:p>
        </w:tc>
      </w:tr>
      <w:tr w:rsidR="000260AD">
        <w:tblPrEx>
          <w:tblBorders>
            <w:insideH w:val="nil"/>
          </w:tblBorders>
        </w:tblPrEx>
        <w:tc>
          <w:tcPr>
            <w:tcW w:w="5610" w:type="dxa"/>
          </w:tcPr>
          <w:p w:rsidR="000260AD" w:rsidRDefault="000260AD">
            <w:pPr>
              <w:pStyle w:val="ConsPlusNormal"/>
              <w:jc w:val="both"/>
            </w:pPr>
            <w:r>
              <w:t>Предохранительные взрывчатые вещества</w:t>
            </w:r>
          </w:p>
        </w:tc>
        <w:tc>
          <w:tcPr>
            <w:tcW w:w="6600" w:type="dxa"/>
            <w:tcBorders>
              <w:top w:val="nil"/>
              <w:bottom w:val="nil"/>
            </w:tcBorders>
          </w:tcPr>
          <w:p w:rsidR="000260AD" w:rsidRDefault="000260AD">
            <w:pPr>
              <w:pStyle w:val="ConsPlusNormal"/>
              <w:jc w:val="center"/>
            </w:pPr>
            <w:r>
              <w:t>3</w:t>
            </w:r>
          </w:p>
        </w:tc>
      </w:tr>
      <w:tr w:rsidR="000260AD">
        <w:tblPrEx>
          <w:tblBorders>
            <w:insideH w:val="nil"/>
          </w:tblBorders>
        </w:tblPrEx>
        <w:tc>
          <w:tcPr>
            <w:tcW w:w="5610" w:type="dxa"/>
          </w:tcPr>
          <w:p w:rsidR="000260AD" w:rsidRDefault="000260AD">
            <w:pPr>
              <w:pStyle w:val="ConsPlusNormal"/>
              <w:jc w:val="both"/>
            </w:pPr>
            <w:r>
              <w:t>Взрывчатые вещества, предназначенные для открытых работ</w:t>
            </w:r>
          </w:p>
        </w:tc>
        <w:tc>
          <w:tcPr>
            <w:tcW w:w="6600" w:type="dxa"/>
            <w:tcBorders>
              <w:top w:val="nil"/>
              <w:bottom w:val="nil"/>
            </w:tcBorders>
          </w:tcPr>
          <w:p w:rsidR="000260AD" w:rsidRDefault="000260AD">
            <w:pPr>
              <w:pStyle w:val="ConsPlusNormal"/>
              <w:jc w:val="center"/>
            </w:pPr>
            <w:r>
              <w:t>50</w:t>
            </w:r>
          </w:p>
        </w:tc>
      </w:tr>
      <w:tr w:rsidR="000260AD">
        <w:tblPrEx>
          <w:tblBorders>
            <w:insideH w:val="nil"/>
          </w:tblBorders>
        </w:tblPrEx>
        <w:tc>
          <w:tcPr>
            <w:tcW w:w="5610" w:type="dxa"/>
          </w:tcPr>
          <w:p w:rsidR="000260AD" w:rsidRDefault="000260AD">
            <w:pPr>
              <w:pStyle w:val="ConsPlusNormal"/>
              <w:jc w:val="both"/>
            </w:pPr>
            <w:r>
              <w:t>Патронированные взрывчатые вещества, шашки и другие штучные взрывчатые вещества, предназначенные для изготовления боевиков на открытых и подземных работах</w:t>
            </w:r>
          </w:p>
        </w:tc>
        <w:tc>
          <w:tcPr>
            <w:tcW w:w="6600" w:type="dxa"/>
            <w:tcBorders>
              <w:top w:val="nil"/>
              <w:bottom w:val="nil"/>
            </w:tcBorders>
          </w:tcPr>
          <w:p w:rsidR="000260AD" w:rsidRDefault="000260AD">
            <w:pPr>
              <w:pStyle w:val="ConsPlusNormal"/>
              <w:jc w:val="center"/>
            </w:pPr>
            <w:r>
              <w:t>5</w:t>
            </w:r>
          </w:p>
        </w:tc>
      </w:tr>
      <w:tr w:rsidR="000260AD">
        <w:tblPrEx>
          <w:tblBorders>
            <w:insideH w:val="nil"/>
          </w:tblBorders>
        </w:tblPrEx>
        <w:tc>
          <w:tcPr>
            <w:tcW w:w="5610" w:type="dxa"/>
          </w:tcPr>
          <w:p w:rsidR="000260AD" w:rsidRDefault="000260AD">
            <w:pPr>
              <w:pStyle w:val="ConsPlusNormal"/>
              <w:jc w:val="both"/>
            </w:pPr>
            <w:r>
              <w:t>Неэлектрические системы инициирования</w:t>
            </w:r>
          </w:p>
        </w:tc>
        <w:tc>
          <w:tcPr>
            <w:tcW w:w="6600" w:type="dxa"/>
            <w:tcBorders>
              <w:top w:val="nil"/>
            </w:tcBorders>
          </w:tcPr>
          <w:p w:rsidR="000260AD" w:rsidRDefault="000260AD">
            <w:pPr>
              <w:pStyle w:val="ConsPlusNormal"/>
              <w:jc w:val="center"/>
            </w:pPr>
            <w:r>
              <w:t>1000 (комплектов)</w:t>
            </w:r>
          </w:p>
        </w:tc>
      </w:tr>
    </w:tbl>
    <w:p w:rsidR="000260AD" w:rsidRDefault="000260AD">
      <w:pPr>
        <w:sectPr w:rsidR="000260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right"/>
        <w:outlineLvl w:val="1"/>
      </w:pPr>
      <w:r>
        <w:t>Приложение 6</w:t>
      </w:r>
    </w:p>
    <w:p w:rsidR="000260AD" w:rsidRDefault="000260AD">
      <w:pPr>
        <w:pStyle w:val="ConsPlusNormal"/>
        <w:jc w:val="right"/>
      </w:pPr>
      <w:r>
        <w:t>к техническому регламенту</w:t>
      </w:r>
    </w:p>
    <w:p w:rsidR="000260AD" w:rsidRDefault="000260AD">
      <w:pPr>
        <w:pStyle w:val="ConsPlusNormal"/>
        <w:jc w:val="right"/>
      </w:pPr>
      <w:r>
        <w:t xml:space="preserve">"О безопасности </w:t>
      </w:r>
      <w:proofErr w:type="gramStart"/>
      <w:r>
        <w:t>взрывчатых</w:t>
      </w:r>
      <w:proofErr w:type="gramEnd"/>
    </w:p>
    <w:p w:rsidR="000260AD" w:rsidRDefault="000260AD">
      <w:pPr>
        <w:pStyle w:val="ConsPlusNormal"/>
        <w:jc w:val="right"/>
      </w:pPr>
      <w:r>
        <w:t>веществ и изделий на их основе"</w:t>
      </w:r>
    </w:p>
    <w:p w:rsidR="000260AD" w:rsidRDefault="000260AD">
      <w:pPr>
        <w:pStyle w:val="ConsPlusNormal"/>
        <w:jc w:val="right"/>
      </w:pPr>
    </w:p>
    <w:p w:rsidR="000260AD" w:rsidRDefault="000260AD">
      <w:pPr>
        <w:pStyle w:val="ConsPlusNormal"/>
        <w:jc w:val="center"/>
      </w:pPr>
      <w:bookmarkStart w:id="14" w:name="P420"/>
      <w:bookmarkEnd w:id="14"/>
      <w:r>
        <w:t>ФОРМА</w:t>
      </w:r>
    </w:p>
    <w:p w:rsidR="000260AD" w:rsidRDefault="000260AD">
      <w:pPr>
        <w:pStyle w:val="ConsPlusNormal"/>
        <w:jc w:val="center"/>
      </w:pPr>
      <w:r>
        <w:t>РАЗРЕШЕНИЕ НА ПОСТОЯННОЕ ПРИМЕНЕНИЕ ВЗРЫВЧАТЫХ ВЕЩЕСТВ</w:t>
      </w:r>
    </w:p>
    <w:p w:rsidR="000260AD" w:rsidRDefault="000260AD">
      <w:pPr>
        <w:pStyle w:val="ConsPlusNormal"/>
        <w:jc w:val="center"/>
      </w:pPr>
      <w:r>
        <w:t>И ИЗДЕЛИЙ НА ИХ ОСНОВЕ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nformat"/>
        <w:jc w:val="both"/>
      </w:pPr>
      <w:r>
        <w:t xml:space="preserve">               Наименование надзорного органа государства -</w:t>
      </w:r>
    </w:p>
    <w:p w:rsidR="000260AD" w:rsidRDefault="000260AD">
      <w:pPr>
        <w:pStyle w:val="ConsPlusNonformat"/>
        <w:jc w:val="both"/>
      </w:pPr>
      <w:r>
        <w:t xml:space="preserve">                          члена Таможенного союза</w:t>
      </w:r>
    </w:p>
    <w:p w:rsidR="000260AD" w:rsidRDefault="000260AD">
      <w:pPr>
        <w:pStyle w:val="ConsPlusNonformat"/>
        <w:jc w:val="both"/>
      </w:pPr>
    </w:p>
    <w:p w:rsidR="000260AD" w:rsidRDefault="000260AD">
      <w:pPr>
        <w:pStyle w:val="ConsPlusNonformat"/>
        <w:jc w:val="both"/>
      </w:pPr>
      <w:r>
        <w:t xml:space="preserve">                         Разрешение на применение</w:t>
      </w:r>
    </w:p>
    <w:p w:rsidR="000260AD" w:rsidRDefault="000260AD">
      <w:pPr>
        <w:pStyle w:val="ConsPlusNonformat"/>
        <w:jc w:val="both"/>
      </w:pPr>
      <w:r>
        <w:t xml:space="preserve">                 взрывчатых веществ и изделий на их основе</w:t>
      </w:r>
    </w:p>
    <w:p w:rsidR="000260AD" w:rsidRDefault="000260AD">
      <w:pPr>
        <w:pStyle w:val="ConsPlusNonformat"/>
        <w:jc w:val="both"/>
      </w:pPr>
    </w:p>
    <w:p w:rsidR="000260AD" w:rsidRDefault="000260AD">
      <w:pPr>
        <w:pStyle w:val="ConsPlusNonformat"/>
        <w:jc w:val="both"/>
      </w:pPr>
      <w:r>
        <w:t xml:space="preserve">    Дата _______________                                      N ___________</w:t>
      </w:r>
    </w:p>
    <w:p w:rsidR="000260AD" w:rsidRDefault="000260AD">
      <w:pPr>
        <w:pStyle w:val="ConsPlusNonformat"/>
        <w:jc w:val="both"/>
      </w:pPr>
    </w:p>
    <w:p w:rsidR="000260AD" w:rsidRDefault="000260AD">
      <w:pPr>
        <w:pStyle w:val="ConsPlusNonformat"/>
        <w:jc w:val="both"/>
      </w:pPr>
      <w:r>
        <w:t>Наименование взрывчатого вещества или изделия _____________________________</w:t>
      </w:r>
    </w:p>
    <w:p w:rsidR="000260AD" w:rsidRDefault="000260AD">
      <w:pPr>
        <w:pStyle w:val="ConsPlusNonformat"/>
        <w:jc w:val="both"/>
      </w:pPr>
      <w:r>
        <w:t>Номер технических условий (стандарта) _____________________________________</w:t>
      </w:r>
    </w:p>
    <w:p w:rsidR="000260AD" w:rsidRDefault="000260AD">
      <w:pPr>
        <w:pStyle w:val="ConsPlusNonformat"/>
        <w:jc w:val="both"/>
      </w:pPr>
      <w:r>
        <w:t>Разработчик: ______________________________________________________________</w:t>
      </w:r>
    </w:p>
    <w:p w:rsidR="000260AD" w:rsidRDefault="000260AD">
      <w:pPr>
        <w:pStyle w:val="ConsPlusNonformat"/>
        <w:jc w:val="both"/>
      </w:pPr>
      <w:r>
        <w:t>Изготовитель (изготовители): ______________________________________________</w:t>
      </w:r>
    </w:p>
    <w:p w:rsidR="000260AD" w:rsidRDefault="000260AD">
      <w:pPr>
        <w:pStyle w:val="ConsPlusNonformat"/>
        <w:jc w:val="both"/>
      </w:pPr>
      <w:r>
        <w:t xml:space="preserve">Свидетельство о его (их) </w:t>
      </w:r>
      <w:proofErr w:type="gramStart"/>
      <w:r>
        <w:t>государственной</w:t>
      </w:r>
      <w:proofErr w:type="gramEnd"/>
    </w:p>
    <w:p w:rsidR="000260AD" w:rsidRDefault="000260AD">
      <w:pPr>
        <w:pStyle w:val="ConsPlusNonformat"/>
        <w:jc w:val="both"/>
      </w:pPr>
      <w:r>
        <w:t>регистрации _______________________________________________________________</w:t>
      </w:r>
    </w:p>
    <w:p w:rsidR="000260AD" w:rsidRDefault="000260AD">
      <w:pPr>
        <w:pStyle w:val="ConsPlusNonformat"/>
        <w:jc w:val="both"/>
      </w:pPr>
      <w:r>
        <w:t xml:space="preserve">                        </w:t>
      </w:r>
      <w:proofErr w:type="gramStart"/>
      <w:r>
        <w:t>(N и дата выдачи, наименование органа,</w:t>
      </w:r>
      <w:proofErr w:type="gramEnd"/>
    </w:p>
    <w:p w:rsidR="000260AD" w:rsidRDefault="000260AD">
      <w:pPr>
        <w:pStyle w:val="ConsPlusNonformat"/>
        <w:jc w:val="both"/>
      </w:pPr>
      <w:r>
        <w:t xml:space="preserve">                               </w:t>
      </w:r>
      <w:proofErr w:type="gramStart"/>
      <w:r>
        <w:t>выдавшего</w:t>
      </w:r>
      <w:proofErr w:type="gramEnd"/>
      <w:r>
        <w:t xml:space="preserve"> свидетельство)</w:t>
      </w:r>
    </w:p>
    <w:p w:rsidR="000260AD" w:rsidRDefault="000260AD">
      <w:pPr>
        <w:pStyle w:val="ConsPlusNonformat"/>
        <w:jc w:val="both"/>
      </w:pPr>
      <w:r>
        <w:t xml:space="preserve">Код </w:t>
      </w:r>
      <w:hyperlink r:id="rId15" w:history="1">
        <w:r>
          <w:rPr>
            <w:color w:val="0000FF"/>
          </w:rPr>
          <w:t>ТН ВЭД ТС</w:t>
        </w:r>
      </w:hyperlink>
      <w:r>
        <w:t xml:space="preserve"> _____________________________________________________________</w:t>
      </w:r>
    </w:p>
    <w:p w:rsidR="000260AD" w:rsidRDefault="000260AD">
      <w:pPr>
        <w:pStyle w:val="ConsPlusNonformat"/>
        <w:jc w:val="both"/>
      </w:pPr>
      <w:r>
        <w:t>Основание для выдачи разрешения ___________________________________________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sectPr w:rsidR="000260A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2805"/>
        <w:gridCol w:w="2310"/>
        <w:gridCol w:w="1650"/>
        <w:gridCol w:w="2640"/>
      </w:tblGrid>
      <w:tr w:rsidR="000260AD">
        <w:tc>
          <w:tcPr>
            <w:tcW w:w="2805" w:type="dxa"/>
          </w:tcPr>
          <w:p w:rsidR="000260AD" w:rsidRDefault="000260AD">
            <w:pPr>
              <w:pStyle w:val="ConsPlusNormal"/>
              <w:jc w:val="center"/>
            </w:pPr>
            <w:r>
              <w:lastRenderedPageBreak/>
              <w:t>Класс транспортной опасности</w:t>
            </w:r>
          </w:p>
        </w:tc>
        <w:tc>
          <w:tcPr>
            <w:tcW w:w="2805" w:type="dxa"/>
          </w:tcPr>
          <w:p w:rsidR="000260AD" w:rsidRDefault="000260AD">
            <w:pPr>
              <w:pStyle w:val="ConsPlusNormal"/>
              <w:jc w:val="center"/>
            </w:pPr>
            <w:r>
              <w:t>Подкласс транспортной опасности</w:t>
            </w:r>
          </w:p>
        </w:tc>
        <w:tc>
          <w:tcPr>
            <w:tcW w:w="2310" w:type="dxa"/>
          </w:tcPr>
          <w:p w:rsidR="000260AD" w:rsidRDefault="000260AD">
            <w:pPr>
              <w:pStyle w:val="ConsPlusNormal"/>
              <w:jc w:val="center"/>
            </w:pPr>
            <w:r>
              <w:t>Группа совместимости</w:t>
            </w: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center"/>
            </w:pPr>
            <w:r>
              <w:t>Серийный номер ООН</w:t>
            </w:r>
          </w:p>
        </w:tc>
        <w:tc>
          <w:tcPr>
            <w:tcW w:w="2640" w:type="dxa"/>
          </w:tcPr>
          <w:p w:rsidR="000260AD" w:rsidRDefault="000260AD">
            <w:pPr>
              <w:pStyle w:val="ConsPlusNormal"/>
              <w:jc w:val="center"/>
            </w:pPr>
            <w:r>
              <w:t>Код экстренных мер (КЭМ)</w:t>
            </w:r>
          </w:p>
        </w:tc>
      </w:tr>
      <w:tr w:rsidR="000260AD">
        <w:tc>
          <w:tcPr>
            <w:tcW w:w="2805" w:type="dxa"/>
          </w:tcPr>
          <w:p w:rsidR="000260AD" w:rsidRDefault="000260AD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0260AD" w:rsidRDefault="000260A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0260AD" w:rsidRDefault="000260A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0260AD" w:rsidRDefault="000260AD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0260AD" w:rsidRDefault="000260AD">
            <w:pPr>
              <w:pStyle w:val="ConsPlusNormal"/>
              <w:jc w:val="both"/>
            </w:pPr>
          </w:p>
        </w:tc>
      </w:tr>
    </w:tbl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nformat"/>
        <w:jc w:val="both"/>
      </w:pPr>
      <w:r>
        <w:t>Назначение, область и условия применения   ________________________________</w:t>
      </w:r>
    </w:p>
    <w:p w:rsidR="000260AD" w:rsidRDefault="000260A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260AD" w:rsidRDefault="000260AD">
      <w:pPr>
        <w:pStyle w:val="ConsPlusNonformat"/>
        <w:jc w:val="both"/>
      </w:pPr>
    </w:p>
    <w:p w:rsidR="000260AD" w:rsidRDefault="000260AD">
      <w:pPr>
        <w:pStyle w:val="ConsPlusNonformat"/>
        <w:jc w:val="both"/>
      </w:pPr>
      <w:r>
        <w:t>Дополнительные требования                  ________________________________</w:t>
      </w:r>
    </w:p>
    <w:p w:rsidR="000260AD" w:rsidRDefault="000260AD">
      <w:pPr>
        <w:pStyle w:val="ConsPlusNonformat"/>
        <w:jc w:val="both"/>
      </w:pPr>
    </w:p>
    <w:p w:rsidR="000260AD" w:rsidRDefault="000260AD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260AD" w:rsidRDefault="000260A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(подпись и Ф.И.О.</w:t>
      </w:r>
      <w:proofErr w:type="gramEnd"/>
    </w:p>
    <w:p w:rsidR="000260AD" w:rsidRDefault="000260AD">
      <w:pPr>
        <w:pStyle w:val="ConsPlusNonformat"/>
        <w:jc w:val="both"/>
      </w:pPr>
      <w:r>
        <w:t xml:space="preserve">                                           представителя надзорного органа)</w:t>
      </w:r>
    </w:p>
    <w:p w:rsidR="000260AD" w:rsidRDefault="000260AD">
      <w:pPr>
        <w:pStyle w:val="ConsPlusNonformat"/>
        <w:jc w:val="both"/>
      </w:pPr>
    </w:p>
    <w:p w:rsidR="000260AD" w:rsidRDefault="000260AD">
      <w:pPr>
        <w:pStyle w:val="ConsPlusNonformat"/>
        <w:jc w:val="both"/>
      </w:pPr>
      <w:r>
        <w:t>Место печати</w:t>
      </w: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ind w:firstLine="540"/>
        <w:jc w:val="both"/>
      </w:pPr>
    </w:p>
    <w:p w:rsidR="000260AD" w:rsidRDefault="00026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43FD" w:rsidRDefault="00A643FD"/>
    <w:sectPr w:rsidR="00A643FD" w:rsidSect="009F437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AD"/>
    <w:rsid w:val="00005933"/>
    <w:rsid w:val="000124E5"/>
    <w:rsid w:val="00015300"/>
    <w:rsid w:val="00021CCC"/>
    <w:rsid w:val="000260AD"/>
    <w:rsid w:val="00052DDA"/>
    <w:rsid w:val="000557A2"/>
    <w:rsid w:val="000A7835"/>
    <w:rsid w:val="000B70F7"/>
    <w:rsid w:val="000C4424"/>
    <w:rsid w:val="000D47EC"/>
    <w:rsid w:val="000E7CC8"/>
    <w:rsid w:val="001246AF"/>
    <w:rsid w:val="00124812"/>
    <w:rsid w:val="00153ABA"/>
    <w:rsid w:val="001552F3"/>
    <w:rsid w:val="00170645"/>
    <w:rsid w:val="00172DBE"/>
    <w:rsid w:val="00176147"/>
    <w:rsid w:val="00192115"/>
    <w:rsid w:val="00193176"/>
    <w:rsid w:val="001B7D14"/>
    <w:rsid w:val="001F6323"/>
    <w:rsid w:val="00212C60"/>
    <w:rsid w:val="002261CE"/>
    <w:rsid w:val="00255BFA"/>
    <w:rsid w:val="00255C46"/>
    <w:rsid w:val="00267B07"/>
    <w:rsid w:val="00286E40"/>
    <w:rsid w:val="002C581B"/>
    <w:rsid w:val="002E2156"/>
    <w:rsid w:val="002F1371"/>
    <w:rsid w:val="00321276"/>
    <w:rsid w:val="00324D6D"/>
    <w:rsid w:val="003357E2"/>
    <w:rsid w:val="00337931"/>
    <w:rsid w:val="00350ED1"/>
    <w:rsid w:val="003566FF"/>
    <w:rsid w:val="0036043E"/>
    <w:rsid w:val="00364FD9"/>
    <w:rsid w:val="00365EC8"/>
    <w:rsid w:val="00373D89"/>
    <w:rsid w:val="00374E19"/>
    <w:rsid w:val="00391CF8"/>
    <w:rsid w:val="003B3897"/>
    <w:rsid w:val="003D2CFF"/>
    <w:rsid w:val="003E661A"/>
    <w:rsid w:val="003E75D2"/>
    <w:rsid w:val="003F692C"/>
    <w:rsid w:val="003F7EF4"/>
    <w:rsid w:val="004122F1"/>
    <w:rsid w:val="004648C2"/>
    <w:rsid w:val="004662CE"/>
    <w:rsid w:val="004969FB"/>
    <w:rsid w:val="00497FF6"/>
    <w:rsid w:val="004A0180"/>
    <w:rsid w:val="004A0968"/>
    <w:rsid w:val="004A1F4F"/>
    <w:rsid w:val="004A796E"/>
    <w:rsid w:val="004C5CB9"/>
    <w:rsid w:val="004D7BAC"/>
    <w:rsid w:val="004E41E3"/>
    <w:rsid w:val="004E7F23"/>
    <w:rsid w:val="00501111"/>
    <w:rsid w:val="005067D4"/>
    <w:rsid w:val="005131A1"/>
    <w:rsid w:val="005559B6"/>
    <w:rsid w:val="00565196"/>
    <w:rsid w:val="0057408B"/>
    <w:rsid w:val="005835C0"/>
    <w:rsid w:val="00595E31"/>
    <w:rsid w:val="005A3C77"/>
    <w:rsid w:val="005A6278"/>
    <w:rsid w:val="005A654A"/>
    <w:rsid w:val="005C393E"/>
    <w:rsid w:val="005D1C35"/>
    <w:rsid w:val="0062279A"/>
    <w:rsid w:val="00631487"/>
    <w:rsid w:val="00637D2D"/>
    <w:rsid w:val="00650049"/>
    <w:rsid w:val="006521FD"/>
    <w:rsid w:val="00655336"/>
    <w:rsid w:val="00665EEE"/>
    <w:rsid w:val="00670FBF"/>
    <w:rsid w:val="006853D4"/>
    <w:rsid w:val="006A718F"/>
    <w:rsid w:val="006C431F"/>
    <w:rsid w:val="006C5943"/>
    <w:rsid w:val="006D025D"/>
    <w:rsid w:val="006D31E4"/>
    <w:rsid w:val="006F78C8"/>
    <w:rsid w:val="00746FD0"/>
    <w:rsid w:val="00752BB8"/>
    <w:rsid w:val="007730E5"/>
    <w:rsid w:val="0079680A"/>
    <w:rsid w:val="007A0F5B"/>
    <w:rsid w:val="007C0420"/>
    <w:rsid w:val="007C7EEB"/>
    <w:rsid w:val="007D4A7B"/>
    <w:rsid w:val="007D790F"/>
    <w:rsid w:val="007F15D7"/>
    <w:rsid w:val="00814FD5"/>
    <w:rsid w:val="00820D53"/>
    <w:rsid w:val="00825FAC"/>
    <w:rsid w:val="00847B7C"/>
    <w:rsid w:val="0087471B"/>
    <w:rsid w:val="008879E6"/>
    <w:rsid w:val="008B5992"/>
    <w:rsid w:val="008C1849"/>
    <w:rsid w:val="008D1CD5"/>
    <w:rsid w:val="008E2854"/>
    <w:rsid w:val="008E68A5"/>
    <w:rsid w:val="008F3836"/>
    <w:rsid w:val="009129FE"/>
    <w:rsid w:val="00915982"/>
    <w:rsid w:val="0094622C"/>
    <w:rsid w:val="009470D2"/>
    <w:rsid w:val="00974155"/>
    <w:rsid w:val="00994FBA"/>
    <w:rsid w:val="009A1156"/>
    <w:rsid w:val="009D2F9E"/>
    <w:rsid w:val="009D5BE4"/>
    <w:rsid w:val="009E1CC8"/>
    <w:rsid w:val="009E7129"/>
    <w:rsid w:val="009E7FE2"/>
    <w:rsid w:val="00A00831"/>
    <w:rsid w:val="00A02D8D"/>
    <w:rsid w:val="00A11C15"/>
    <w:rsid w:val="00A2308E"/>
    <w:rsid w:val="00A312BD"/>
    <w:rsid w:val="00A643FD"/>
    <w:rsid w:val="00A95C1A"/>
    <w:rsid w:val="00AD2D54"/>
    <w:rsid w:val="00AF649B"/>
    <w:rsid w:val="00AF7EDB"/>
    <w:rsid w:val="00B23770"/>
    <w:rsid w:val="00B25A5D"/>
    <w:rsid w:val="00B25CD6"/>
    <w:rsid w:val="00B3139C"/>
    <w:rsid w:val="00B348E7"/>
    <w:rsid w:val="00B50003"/>
    <w:rsid w:val="00B5682D"/>
    <w:rsid w:val="00B6517A"/>
    <w:rsid w:val="00B65186"/>
    <w:rsid w:val="00B84EA5"/>
    <w:rsid w:val="00B91AB4"/>
    <w:rsid w:val="00BC701B"/>
    <w:rsid w:val="00BE7127"/>
    <w:rsid w:val="00C17251"/>
    <w:rsid w:val="00C22547"/>
    <w:rsid w:val="00C269AB"/>
    <w:rsid w:val="00C56627"/>
    <w:rsid w:val="00C56D30"/>
    <w:rsid w:val="00C65D9D"/>
    <w:rsid w:val="00CA1975"/>
    <w:rsid w:val="00CB3990"/>
    <w:rsid w:val="00CB467E"/>
    <w:rsid w:val="00CE140C"/>
    <w:rsid w:val="00CE279D"/>
    <w:rsid w:val="00CE6EF8"/>
    <w:rsid w:val="00CF0046"/>
    <w:rsid w:val="00D129F3"/>
    <w:rsid w:val="00D301BC"/>
    <w:rsid w:val="00D312C9"/>
    <w:rsid w:val="00D60B0F"/>
    <w:rsid w:val="00D82F9F"/>
    <w:rsid w:val="00D97E39"/>
    <w:rsid w:val="00DB23F8"/>
    <w:rsid w:val="00DC612A"/>
    <w:rsid w:val="00DE273A"/>
    <w:rsid w:val="00DF2027"/>
    <w:rsid w:val="00E11773"/>
    <w:rsid w:val="00E13174"/>
    <w:rsid w:val="00E213A0"/>
    <w:rsid w:val="00E76D4C"/>
    <w:rsid w:val="00E80613"/>
    <w:rsid w:val="00E86C47"/>
    <w:rsid w:val="00EA1436"/>
    <w:rsid w:val="00EB0B2A"/>
    <w:rsid w:val="00F05056"/>
    <w:rsid w:val="00F15063"/>
    <w:rsid w:val="00F33929"/>
    <w:rsid w:val="00F345D5"/>
    <w:rsid w:val="00F604C6"/>
    <w:rsid w:val="00F72679"/>
    <w:rsid w:val="00F865C3"/>
    <w:rsid w:val="00F87A2B"/>
    <w:rsid w:val="00FA0C9A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0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60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0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60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0E879E2C2D68AB23EBBDE55ADF420BC5362B52576D669CE8B08D90059C09E5A2F675936759F069BmBv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E879E2C2D68AB23EBBDE55ADF420BC5363B12C79D269CE8B08D90059C09E5A2F675936759F069DmBvBI" TargetMode="External"/><Relationship Id="rId12" Type="http://schemas.openxmlformats.org/officeDocument/2006/relationships/hyperlink" Target="consultantplus://offline/ref=10E879E2C2D68AB23EBBDE55ADF420BC5362B52576D669CE8B08D90059C09E5A2F675936759F0498mBv8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E879E2C2D68AB23EBBDE55ADF420BC5062B22A77D569CE8B08D90059C09E5A2F675936759F069AmBv9I" TargetMode="External"/><Relationship Id="rId11" Type="http://schemas.openxmlformats.org/officeDocument/2006/relationships/hyperlink" Target="consultantplus://offline/ref=10E879E2C2D68AB23EBBDE55ADF420BC5362B52576D669CE8B08D90059C09E5A2F675936759F049AmBv9I" TargetMode="External"/><Relationship Id="rId5" Type="http://schemas.openxmlformats.org/officeDocument/2006/relationships/hyperlink" Target="consultantplus://offline/ref=10E879E2C2D68AB23EBBDE55ADF420BC5361B72578D469CE8B08D90059C09E5A2F675936759F0698mBvDI" TargetMode="External"/><Relationship Id="rId15" Type="http://schemas.openxmlformats.org/officeDocument/2006/relationships/hyperlink" Target="consultantplus://offline/ref=10E879E2C2D68AB23EBBDE55ADF420BC506ABF2472D169CE8B08D90059C09E5A2F675936759F069BmBvFI" TargetMode="External"/><Relationship Id="rId10" Type="http://schemas.openxmlformats.org/officeDocument/2006/relationships/hyperlink" Target="consultantplus://offline/ref=10E879E2C2D68AB23EBBDE55ADF420BC5362B52576D669CE8B08D90059C09E5A2F675936759F0792mBv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E879E2C2D68AB23EBBDE55ADF420BC5362B52576D669CE8B08D90059C09E5A2F675936759F079BmBvFI" TargetMode="External"/><Relationship Id="rId14" Type="http://schemas.openxmlformats.org/officeDocument/2006/relationships/hyperlink" Target="consultantplus://offline/ref=10E879E2C2D68AB23EBBDE55ADF420BC536AB12877DC69CE8B08D90059C09E5A2F675936759F069BmB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5840</Words>
  <Characters>33290</Characters>
  <Application>Microsoft Office Word</Application>
  <DocSecurity>0</DocSecurity>
  <Lines>277</Lines>
  <Paragraphs>78</Paragraphs>
  <ScaleCrop>false</ScaleCrop>
  <Company/>
  <LinksUpToDate>false</LinksUpToDate>
  <CharactersWithSpaces>39052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Ежикова Анастасия Александровна</dc:creator>
  <cp:lastModifiedBy>Ежикова Анастасия Александровна</cp:lastModifiedBy>
  <cp:revision>1</cp:revision>
  <dcterms:created xsi:type="dcterms:W3CDTF">2018-07-24T08:47:00Z</dcterms:created>
  <dcterms:modified xsi:type="dcterms:W3CDTF">2018-07-24T08:48:00Z</dcterms:modified>
</cp:coreProperties>
</file>